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R4-2507517</w:t>
      </w:r>
      <w:bookmarkStart w:id="461" w:name="_GoBack"/>
      <w:bookmarkEnd w:id="461"/>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1BB4ED1D">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13.4.2.3</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59"/>
        <w:tabs>
          <w:tab w:val="left" w:pos="567"/>
          <w:tab w:val="clear" w:pos="1985"/>
        </w:tabs>
        <w:adjustRightInd w:val="0"/>
        <w:ind w:left="510" w:hanging="510"/>
      </w:pPr>
      <w:r>
        <w:t>Introduction</w:t>
      </w:r>
    </w:p>
    <w:p w14:paraId="66D50419">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14786EC">
            <w:pPr>
              <w:rPr>
                <w:color w:val="0070C0"/>
                <w:lang w:val="en-US" w:eastAsia="zh-CN"/>
              </w:rPr>
            </w:pPr>
            <w:r>
              <w:rPr>
                <w:rFonts w:hint="eastAsia"/>
                <w:b/>
                <w:bCs/>
                <w:iCs/>
                <w:color w:val="0070C0"/>
                <w:lang w:val="en-US" w:eastAsia="zh-CN"/>
              </w:rPr>
              <w:t>Issue 2-2: Procedure wise clarification for different TRP measurement</w:t>
            </w:r>
          </w:p>
          <w:p w14:paraId="1D0983D4">
            <w:pPr>
              <w:rPr>
                <w:lang w:val="en-US" w:eastAsia="zh-CN"/>
              </w:rPr>
            </w:pPr>
            <w:r>
              <w:rPr>
                <w:rFonts w:hint="eastAsia" w:eastAsia="宋体"/>
                <w:color w:val="0070C0"/>
                <w:szCs w:val="24"/>
                <w:lang w:val="en-US" w:eastAsia="zh-CN"/>
              </w:rPr>
              <w:t>Agreem</w:t>
            </w:r>
            <w:r>
              <w:rPr>
                <w:rFonts w:hint="eastAsia" w:ascii="Times New Roman" w:hAnsi="Times New Roman" w:eastAsia="宋体" w:cs="Times New Roman"/>
                <w:color w:val="0070C0"/>
                <w:szCs w:val="24"/>
                <w:lang w:val="en-US" w:eastAsia="zh-CN"/>
              </w:rPr>
              <w:t xml:space="preserve">ent for test method/ sampling grid simplification:  </w:t>
            </w:r>
          </w:p>
          <w:p w14:paraId="41B628A9">
            <w:pPr>
              <w:pStyle w:val="38"/>
              <w:numPr>
                <w:ilvl w:val="1"/>
                <w:numId w:val="4"/>
              </w:numPr>
              <w:overflowPunct/>
              <w:autoSpaceDE/>
              <w:autoSpaceDN/>
              <w:adjustRightInd/>
              <w:spacing w:after="120"/>
              <w:ind w:left="1440" w:firstLineChars="0"/>
              <w:textAlignment w:val="auto"/>
              <w:rPr>
                <w:lang w:val="en-US" w:eastAsia="zh-CN"/>
              </w:rPr>
            </w:pPr>
            <w:r>
              <w:rPr>
                <w:rFonts w:hint="eastAsia"/>
                <w:iCs/>
                <w:color w:val="0070C0"/>
                <w:lang w:val="en-US" w:eastAsia="zh-CN"/>
              </w:rPr>
              <w:t xml:space="preserve">To </w:t>
            </w:r>
            <w:r>
              <w:rPr>
                <w:rFonts w:hint="eastAsia" w:eastAsia="宋体"/>
                <w:color w:val="0070C0"/>
                <w:lang w:val="en-US" w:eastAsia="zh-CN"/>
              </w:rPr>
              <w:t>follow the previous RAN4 agreement in RAN4#114 meeting</w:t>
            </w:r>
            <w:r>
              <w:rPr>
                <w:rFonts w:eastAsia="宋体"/>
                <w:color w:val="0070C0"/>
                <w:lang w:val="en-US" w:eastAsia="zh-CN"/>
              </w:rPr>
              <w:t>: to</w:t>
            </w:r>
            <w:r>
              <w:rPr>
                <w:rFonts w:hint="eastAsia"/>
                <w:iCs/>
                <w:color w:val="0070C0"/>
                <w:lang w:val="en-US" w:eastAsia="zh-CN"/>
              </w:rPr>
              <w:t xml:space="preserve"> keep the current TRP testing method, TRP sampling grid and testing chamber in the specification</w:t>
            </w:r>
          </w:p>
          <w:p w14:paraId="3AD94500">
            <w:pPr>
              <w:rPr>
                <w:color w:val="0070C0"/>
                <w:lang w:val="en-US" w:eastAsia="zh-CN"/>
              </w:rPr>
            </w:pPr>
            <w:r>
              <w:rPr>
                <w:rFonts w:hint="eastAsia" w:eastAsia="宋体"/>
                <w:color w:val="0070C0"/>
                <w:szCs w:val="24"/>
                <w:lang w:val="en-US" w:eastAsia="zh-CN"/>
              </w:rPr>
              <w:t>Agree</w:t>
            </w:r>
            <w:r>
              <w:rPr>
                <w:rFonts w:hint="eastAsia" w:ascii="Times New Roman" w:hAnsi="Times New Roman" w:eastAsia="宋体" w:cs="Times New Roman"/>
                <w:color w:val="0070C0"/>
                <w:szCs w:val="24"/>
                <w:lang w:val="en-US" w:eastAsia="zh-CN"/>
              </w:rPr>
              <w:t xml:space="preserve">ment for applicability for different requirement:  </w:t>
            </w:r>
          </w:p>
          <w:p w14:paraId="64CFE9CE">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For OTA base station output power, ACLR and operating band unwanted emissions, use the following option 1 as starting point. </w:t>
            </w:r>
          </w:p>
          <w:p w14:paraId="1D9D3622">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Option 1: </w:t>
            </w:r>
          </w:p>
          <w:p w14:paraId="310B463C">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Step 1: [Orthogonal cut grid] (two-cuts and optional three cuts) as described in annex I.5 or Beam-based directions as described in annex I.10 may be performed if chosen for the test, go to step 2 </w:t>
            </w:r>
            <w:r>
              <w:rPr>
                <w:rFonts w:eastAsia="宋体"/>
                <w:color w:val="0070C0"/>
                <w:highlight w:val="none"/>
                <w:lang w:val="en-US" w:eastAsia="zh-CN"/>
              </w:rPr>
              <w:t>if this step is not chosen</w:t>
            </w:r>
            <w:r>
              <w:rPr>
                <w:rFonts w:hint="eastAsia" w:eastAsia="宋体"/>
                <w:color w:val="0070C0"/>
                <w:highlight w:val="none"/>
                <w:lang w:val="en-US" w:eastAsia="zh-CN"/>
              </w:rPr>
              <w:t xml:space="preserve"> or </w:t>
            </w:r>
            <w:r>
              <w:rPr>
                <w:rFonts w:eastAsia="宋体"/>
                <w:color w:val="0070C0"/>
                <w:highlight w:val="none"/>
                <w:lang w:val="en-US" w:eastAsia="zh-CN"/>
              </w:rPr>
              <w:t>the BS under test fails the test in this step</w:t>
            </w:r>
            <w:r>
              <w:rPr>
                <w:rFonts w:hint="eastAsia" w:eastAsia="宋体"/>
                <w:color w:val="0070C0"/>
                <w:highlight w:val="none"/>
                <w:lang w:val="en-US" w:eastAsia="zh-CN"/>
              </w:rPr>
              <w:t>.</w:t>
            </w:r>
          </w:p>
          <w:p w14:paraId="4540A50D">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One of the TRP measurement procedure as described in annex I.2 to I.9 except annex I.5 shall be performed for the test.</w:t>
            </w:r>
          </w:p>
          <w:p w14:paraId="36A334F1">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For OTA base station spurious emission, use the option 1 as starting point</w:t>
            </w:r>
          </w:p>
          <w:p w14:paraId="07324855">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Option 1:</w:t>
            </w:r>
          </w:p>
          <w:p w14:paraId="011E4CB6">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1: Pre-scan as described in annex I.13</w:t>
            </w:r>
            <w:r>
              <w:rPr>
                <w:rFonts w:eastAsia="宋体"/>
                <w:color w:val="0070C0"/>
                <w:highlight w:val="none"/>
                <w:lang w:val="en-US" w:eastAsia="zh-CN"/>
              </w:rPr>
              <w:t xml:space="preserve"> if chosen for the test,</w:t>
            </w:r>
            <w:r>
              <w:rPr>
                <w:rFonts w:hint="eastAsia" w:eastAsia="宋体"/>
                <w:color w:val="0070C0"/>
                <w:highlight w:val="none"/>
                <w:lang w:val="en-US" w:eastAsia="zh-CN"/>
              </w:rPr>
              <w:t xml:space="preserve"> go to step 2 </w:t>
            </w:r>
            <w:r>
              <w:rPr>
                <w:rFonts w:eastAsia="宋体"/>
                <w:color w:val="0070C0"/>
                <w:highlight w:val="none"/>
                <w:lang w:val="en-US" w:eastAsia="zh-CN"/>
              </w:rPr>
              <w:t>if this step is not chosen</w:t>
            </w:r>
            <w:r>
              <w:rPr>
                <w:rFonts w:hint="eastAsia" w:eastAsia="宋体"/>
                <w:color w:val="0070C0"/>
                <w:highlight w:val="none"/>
                <w:lang w:val="en-US" w:eastAsia="zh-CN"/>
              </w:rPr>
              <w:t>.</w:t>
            </w:r>
          </w:p>
          <w:p w14:paraId="0F3B3E64">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5F452E87">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3: One of the TRP measurement procedure as described in annex I.2 to I.9 except annex I.5 shall be performed for the test.</w:t>
            </w:r>
          </w:p>
          <w:p w14:paraId="2982EEC3">
            <w:pPr>
              <w:pStyle w:val="38"/>
              <w:overflowPunct/>
              <w:autoSpaceDE/>
              <w:autoSpaceDN/>
              <w:adjustRightInd/>
              <w:spacing w:after="120"/>
              <w:ind w:firstLine="0" w:firstLineChars="0"/>
              <w:textAlignment w:val="auto"/>
              <w:rPr>
                <w:rFonts w:eastAsia="宋体"/>
                <w:color w:val="0070C0"/>
                <w:lang w:val="en-US" w:eastAsia="zh-CN"/>
              </w:rPr>
            </w:pPr>
          </w:p>
          <w:p w14:paraId="7966128E">
            <w:pPr>
              <w:rPr>
                <w:lang w:val="en-US"/>
              </w:rPr>
            </w:pPr>
            <w:r>
              <w:rPr>
                <w:rFonts w:hint="eastAsia"/>
                <w:b/>
                <w:bCs/>
                <w:iCs/>
                <w:color w:val="0070C0"/>
                <w:lang w:val="en-US" w:eastAsia="zh-CN"/>
              </w:rPr>
              <w:t>Issue 2-3:  the improvement of Pres-scan approach</w:t>
            </w:r>
          </w:p>
          <w:p w14:paraId="328CD885">
            <w:pPr>
              <w:rPr>
                <w:lang w:val="en-US" w:eastAsia="zh-CN"/>
              </w:rPr>
            </w:pPr>
            <w:r>
              <w:rPr>
                <w:rFonts w:hint="eastAsia" w:eastAsia="宋体"/>
                <w:color w:val="0070C0"/>
                <w:szCs w:val="24"/>
                <w:lang w:val="en-US" w:eastAsia="zh-CN"/>
              </w:rPr>
              <w:t>Agreement</w:t>
            </w:r>
            <w:r>
              <w:rPr>
                <w:rFonts w:hint="eastAsia"/>
                <w:lang w:val="en-US" w:eastAsia="zh-CN"/>
              </w:rPr>
              <w:t>:</w:t>
            </w:r>
          </w:p>
          <w:p w14:paraId="40342A1B">
            <w:pPr>
              <w:pStyle w:val="38"/>
              <w:numPr>
                <w:ilvl w:val="1"/>
                <w:numId w:val="4"/>
              </w:numPr>
              <w:overflowPunct/>
              <w:autoSpaceDE/>
              <w:autoSpaceDN/>
              <w:adjustRightInd/>
              <w:spacing w:after="120"/>
              <w:ind w:left="1440" w:firstLineChars="0"/>
              <w:textAlignment w:val="auto"/>
              <w:rPr>
                <w:rFonts w:hint="eastAsia" w:ascii="Times New Roman" w:hAnsi="Times New Roman" w:eastAsia="宋体" w:cs="Times New Roman"/>
                <w:color w:val="0070C0"/>
                <w:highlight w:val="none"/>
                <w:lang w:val="en-US" w:eastAsia="zh-CN"/>
              </w:rPr>
            </w:pPr>
            <w:r>
              <w:rPr>
                <w:rFonts w:hint="eastAsia" w:ascii="Times New Roman" w:hAnsi="Times New Roman" w:eastAsia="宋体" w:cs="Times New Roman"/>
                <w:color w:val="0070C0"/>
                <w:highlight w:val="none"/>
                <w:lang w:val="en-US" w:eastAsia="zh-CN"/>
              </w:rPr>
              <w:t xml:space="preserve">Encourage companies to provide the draft CR focusing on how to improve the test procedures for Pre-scan approach next meeting and further discuss the improvement based on draft CR directly. </w:t>
            </w:r>
          </w:p>
          <w:p w14:paraId="3AC8097A">
            <w:pPr>
              <w:rPr>
                <w:lang w:val="en-US"/>
              </w:rPr>
            </w:pPr>
            <w:r>
              <w:rPr>
                <w:rFonts w:hint="eastAsia"/>
                <w:b/>
                <w:bCs/>
                <w:iCs/>
                <w:color w:val="0070C0"/>
                <w:lang w:val="en-US" w:eastAsia="zh-CN"/>
              </w:rPr>
              <w:t>Issue 2-4:  TRP uncertainty</w:t>
            </w:r>
          </w:p>
          <w:p w14:paraId="03C4DD71">
            <w:pPr>
              <w:rPr>
                <w:lang w:val="en-US" w:eastAsia="zh-CN"/>
              </w:rPr>
            </w:pPr>
            <w:r>
              <w:rPr>
                <w:rFonts w:hint="eastAsia" w:eastAsia="宋体"/>
                <w:color w:val="0070C0"/>
                <w:szCs w:val="24"/>
                <w:lang w:val="en-US" w:eastAsia="zh-CN"/>
              </w:rPr>
              <w:t>Agreement</w:t>
            </w:r>
            <w:r>
              <w:rPr>
                <w:rFonts w:hint="eastAsia"/>
                <w:lang w:val="en-US" w:eastAsia="zh-CN"/>
              </w:rPr>
              <w:t>:</w:t>
            </w:r>
          </w:p>
          <w:p w14:paraId="40754C2D">
            <w:pPr>
              <w:pStyle w:val="38"/>
              <w:numPr>
                <w:ilvl w:val="1"/>
                <w:numId w:val="4"/>
              </w:numPr>
              <w:overflowPunct/>
              <w:autoSpaceDE/>
              <w:autoSpaceDN/>
              <w:adjustRightInd/>
              <w:spacing w:after="120"/>
              <w:ind w:left="1440" w:firstLineChars="0"/>
              <w:textAlignment w:val="auto"/>
            </w:pPr>
            <w:r>
              <w:rPr>
                <w:rFonts w:hint="eastAsia" w:ascii="Times New Roman" w:hAnsi="Times New Roman" w:eastAsia="宋体" w:cs="Times New Roman"/>
                <w:color w:val="0070C0"/>
                <w:highlight w:val="none"/>
                <w:lang w:val="en-US" w:eastAsia="zh-CN"/>
              </w:rPr>
              <w:t xml:space="preserve">To follow the previous RAN4 agreement in RAN4#114 meeting. </w:t>
            </w:r>
          </w:p>
        </w:tc>
      </w:tr>
    </w:tbl>
    <w:p w14:paraId="6E3C31A5">
      <w:pPr>
        <w:pStyle w:val="59"/>
        <w:tabs>
          <w:tab w:val="left" w:pos="567"/>
          <w:tab w:val="clear" w:pos="1985"/>
        </w:tabs>
        <w:adjustRightInd w:val="0"/>
        <w:ind w:left="510" w:hanging="510"/>
        <w:rPr>
          <w:rFonts w:eastAsia="Times New Roman"/>
        </w:rPr>
      </w:pPr>
      <w:bookmarkStart w:id="1" w:name="OLE_LINK14"/>
      <w:bookmarkStart w:id="2" w:name="OLE_LINK13"/>
      <w:bookmarkStart w:id="3" w:name="OLE_LINK20"/>
      <w:bookmarkStart w:id="4" w:name="OLE_LINK10"/>
      <w:r>
        <w:rPr>
          <w:rFonts w:hint="eastAsia"/>
        </w:rPr>
        <w:t>Discussion</w:t>
      </w:r>
      <w:r>
        <w:rPr>
          <w:rFonts w:hint="eastAsia" w:eastAsia="Times New Roman"/>
        </w:rPr>
        <w:t xml:space="preserve"> </w:t>
      </w:r>
    </w:p>
    <w:p w14:paraId="7ABEF1C2">
      <w:pPr>
        <w:rPr>
          <w:rFonts w:hint="eastAsia"/>
          <w:lang w:val="en-US" w:eastAsia="zh-CN"/>
        </w:rPr>
      </w:pPr>
      <w:r>
        <w:rPr>
          <w:rFonts w:hint="eastAsia"/>
          <w:lang w:val="en-US" w:eastAsia="zh-CN"/>
        </w:rPr>
        <w:t>Based on the discussion during the RAN4#114bis meeting, option 1 has been agreed as starting point according to Annex I in TS38.141-2, however during the discussions, there are at least the following two issues to be addressed:</w:t>
      </w:r>
    </w:p>
    <w:p w14:paraId="04AFB07A">
      <w:pPr>
        <w:numPr>
          <w:ilvl w:val="0"/>
          <w:numId w:val="5"/>
        </w:numPr>
        <w:rPr>
          <w:rFonts w:hint="default"/>
          <w:lang w:val="en-US" w:eastAsia="zh-CN"/>
        </w:rPr>
      </w:pPr>
      <w:r>
        <w:rPr>
          <w:rFonts w:hint="eastAsia"/>
          <w:lang w:val="en-US" w:eastAsia="zh-CN"/>
        </w:rPr>
        <w:t>Potential underestimated TRP value if t</w:t>
      </w:r>
      <w:r>
        <w:rPr>
          <w:rFonts w:hint="eastAsia" w:eastAsia="宋体"/>
          <w:lang w:val="en-US" w:eastAsia="zh-CN"/>
        </w:rPr>
        <w:t>wo cuts + Pattern multiplication</w:t>
      </w:r>
      <w:r>
        <w:rPr>
          <w:rFonts w:hint="eastAsia"/>
          <w:lang w:val="en-US" w:eastAsia="zh-CN"/>
        </w:rPr>
        <w:t xml:space="preserve"> or two cuts+pattern multiplication; </w:t>
      </w:r>
    </w:p>
    <w:p w14:paraId="1C0691DE">
      <w:pPr>
        <w:numPr>
          <w:ilvl w:val="0"/>
          <w:numId w:val="5"/>
        </w:numPr>
        <w:rPr>
          <w:rFonts w:hint="default"/>
          <w:lang w:val="en-US" w:eastAsia="zh-CN"/>
        </w:rPr>
      </w:pPr>
      <w:r>
        <w:rPr>
          <w:rFonts w:hint="eastAsia"/>
          <w:lang w:val="en-US" w:eastAsia="zh-CN"/>
        </w:rPr>
        <w:t>Whether measurement step 1 could be representative for the measurement in step 2 or if NR BS in step 1 fulfilling the accuracy requirement with certain margin or gap can also guarantee that NR BS in step 2 also fulfilling the accuracy requirement.</w:t>
      </w:r>
    </w:p>
    <w:p w14:paraId="25016DD7">
      <w:pPr>
        <w:rPr>
          <w:rFonts w:hint="eastAsia"/>
          <w:lang w:val="en-US" w:eastAsia="zh-CN"/>
        </w:rPr>
      </w:pPr>
      <w:r>
        <w:rPr>
          <w:rFonts w:hint="eastAsia"/>
          <w:b/>
          <w:bCs/>
          <w:lang w:val="en-US" w:eastAsia="zh-CN"/>
        </w:rPr>
        <w:t>Proposal 1</w:t>
      </w:r>
      <w:r>
        <w:rPr>
          <w:rFonts w:hint="eastAsia"/>
          <w:lang w:val="en-US" w:eastAsia="zh-CN"/>
        </w:rPr>
        <w:t>: RAN4 need to discuss the following two issues for TRP measurement:</w:t>
      </w:r>
    </w:p>
    <w:p w14:paraId="179C2ED6">
      <w:pPr>
        <w:numPr>
          <w:ilvl w:val="0"/>
          <w:numId w:val="6"/>
        </w:numPr>
        <w:rPr>
          <w:rFonts w:hint="default"/>
          <w:lang w:val="en-US" w:eastAsia="zh-CN"/>
        </w:rPr>
      </w:pPr>
      <w:r>
        <w:rPr>
          <w:rFonts w:hint="eastAsia"/>
          <w:lang w:val="en-US" w:eastAsia="zh-CN"/>
        </w:rPr>
        <w:t>Potential underestimated TRP if t</w:t>
      </w:r>
      <w:r>
        <w:rPr>
          <w:rFonts w:hint="eastAsia" w:eastAsia="宋体"/>
          <w:lang w:val="en-US" w:eastAsia="zh-CN"/>
        </w:rPr>
        <w:t>wo cuts + Pattern multiplication</w:t>
      </w:r>
      <w:r>
        <w:rPr>
          <w:rFonts w:hint="eastAsia"/>
          <w:lang w:val="en-US" w:eastAsia="zh-CN"/>
        </w:rPr>
        <w:t xml:space="preserve"> or two cuts+pattern multiplication; </w:t>
      </w:r>
    </w:p>
    <w:p w14:paraId="7B8B7651">
      <w:pPr>
        <w:numPr>
          <w:ilvl w:val="0"/>
          <w:numId w:val="6"/>
        </w:numPr>
        <w:rPr>
          <w:rFonts w:hint="default"/>
          <w:lang w:val="en-US" w:eastAsia="zh-CN"/>
        </w:rPr>
      </w:pPr>
      <w:r>
        <w:rPr>
          <w:rFonts w:hint="eastAsia" w:eastAsia="宋体"/>
          <w:color w:val="auto"/>
          <w:highlight w:val="none"/>
          <w:lang w:val="en-US" w:eastAsia="zh-CN"/>
        </w:rPr>
        <w:t xml:space="preserve"> </w:t>
      </w:r>
      <w:r>
        <w:rPr>
          <w:rFonts w:hint="eastAsia"/>
          <w:color w:val="auto"/>
          <w:highlight w:val="none"/>
          <w:lang w:val="en-US" w:eastAsia="zh-CN"/>
        </w:rPr>
        <w:t xml:space="preserve">For </w:t>
      </w:r>
      <w:r>
        <w:rPr>
          <w:rFonts w:hint="eastAsia" w:eastAsia="宋体"/>
          <w:color w:val="auto"/>
          <w:highlight w:val="none"/>
          <w:lang w:val="en-US" w:eastAsia="zh-CN"/>
        </w:rPr>
        <w:t>OTA base station output power, ACLR and operating band unwanted emissions</w:t>
      </w:r>
      <w:r>
        <w:rPr>
          <w:rFonts w:hint="eastAsia"/>
          <w:color w:val="auto"/>
          <w:highlight w:val="none"/>
          <w:lang w:val="en-US" w:eastAsia="zh-CN"/>
        </w:rPr>
        <w:t>, w</w:t>
      </w:r>
      <w:r>
        <w:rPr>
          <w:rFonts w:hint="eastAsia"/>
          <w:color w:val="auto"/>
          <w:lang w:val="en-US" w:eastAsia="zh-CN"/>
        </w:rPr>
        <w:t>heth</w:t>
      </w:r>
      <w:r>
        <w:rPr>
          <w:rFonts w:hint="eastAsia"/>
          <w:lang w:val="en-US" w:eastAsia="zh-CN"/>
        </w:rPr>
        <w:t>er measurement step 1 could be representative for the measurement in step 2 or if NR BS in step 1 fulfilling the accuracy requirement can also guarantee that NR BS in step 2 also fulfilling the accuracy requirement.</w:t>
      </w:r>
    </w:p>
    <w:p w14:paraId="5CF0232F">
      <w:pPr>
        <w:rPr>
          <w:rFonts w:hint="default"/>
          <w:lang w:val="en-US" w:eastAsia="zh-CN"/>
        </w:rPr>
      </w:pPr>
      <w:r>
        <w:rPr>
          <w:rFonts w:hint="eastAsia"/>
          <w:lang w:val="en-US" w:eastAsia="zh-CN"/>
        </w:rPr>
        <w:t xml:space="preserve">Regarding the potential underestimated TRP for two or three cuts due to the missing the grating lobe or side lobes, RAN4 needs to provide the similar correction factors as for spurious unwanted emissions in I.5.3, otherwise the measurement in step 1 with two/three cuts cannot been representative for step 2. For example, FR1 WA BS with declared TRP power as 46dBm, according to the two/three cuts measurement, the estimated TRP is 47dBm which is within +/-2 measurement accuracy requirement, however if we go with step 2 with more dense measurements, without considering step 1, the estimated TRP power could be potentially as 49dBm which exceeds the measurement accuracy requirement. </w:t>
      </w:r>
    </w:p>
    <w:p w14:paraId="2C0ADD57">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14:paraId="05A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0F5B14E1">
            <w:pPr>
              <w:pStyle w:val="39"/>
            </w:pPr>
          </w:p>
        </w:tc>
        <w:tc>
          <w:tcPr>
            <w:tcW w:w="1127" w:type="dxa"/>
            <w:tcBorders>
              <w:top w:val="single" w:color="auto" w:sz="4" w:space="0"/>
              <w:left w:val="single" w:color="auto" w:sz="4" w:space="0"/>
              <w:bottom w:val="single" w:color="auto" w:sz="4" w:space="0"/>
              <w:right w:val="single" w:color="auto" w:sz="4" w:space="0"/>
            </w:tcBorders>
          </w:tcPr>
          <w:p w14:paraId="118ACC94">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14:paraId="0C34C3C1">
            <w:pPr>
              <w:pStyle w:val="39"/>
            </w:pPr>
            <w:r>
              <w:t>Two cuts</w:t>
            </w:r>
          </w:p>
        </w:tc>
      </w:tr>
      <w:tr w14:paraId="46BA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6A95680D">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14:paraId="7F5B3FA3">
            <w:pPr>
              <w:pStyle w:val="40"/>
            </w:pPr>
            <w:r>
              <w:t>2.0</w:t>
            </w:r>
          </w:p>
        </w:tc>
        <w:tc>
          <w:tcPr>
            <w:tcW w:w="1252" w:type="dxa"/>
            <w:tcBorders>
              <w:top w:val="single" w:color="auto" w:sz="4" w:space="0"/>
              <w:left w:val="single" w:color="auto" w:sz="4" w:space="0"/>
              <w:bottom w:val="single" w:color="auto" w:sz="4" w:space="0"/>
              <w:right w:val="single" w:color="auto" w:sz="4" w:space="0"/>
            </w:tcBorders>
          </w:tcPr>
          <w:p w14:paraId="118DE96B">
            <w:pPr>
              <w:pStyle w:val="40"/>
            </w:pPr>
            <w:r>
              <w:t>2.5</w:t>
            </w:r>
          </w:p>
        </w:tc>
      </w:tr>
    </w:tbl>
    <w:p w14:paraId="00C80E8B">
      <w:r>
        <w:rPr>
          <w:rFonts w:hint="eastAsia"/>
          <w:b/>
          <w:bCs/>
          <w:lang w:val="en-US" w:eastAsia="zh-CN"/>
        </w:rPr>
        <w:t>Proposal 2</w:t>
      </w:r>
      <w:r>
        <w:rPr>
          <w:rFonts w:hint="eastAsia"/>
          <w:lang w:val="en-US" w:eastAsia="zh-CN"/>
        </w:rPr>
        <w:t>: RAN4 needs to provide more analysis or simulation/measurement results for correction factor between two/three cuts and dense sampling as captured annex I.2 to I.9 except annex I.5.</w:t>
      </w:r>
      <w:r>
        <w:br w:type="page"/>
      </w:r>
    </w:p>
    <w:bookmarkEnd w:id="1"/>
    <w:bookmarkEnd w:id="2"/>
    <w:bookmarkEnd w:id="3"/>
    <w:bookmarkEnd w:id="4"/>
    <w:p w14:paraId="729D443F">
      <w:pPr>
        <w:pStyle w:val="59"/>
        <w:tabs>
          <w:tab w:val="left" w:pos="567"/>
          <w:tab w:val="clear" w:pos="1985"/>
        </w:tabs>
        <w:adjustRightInd w:val="0"/>
        <w:ind w:left="510" w:hanging="510"/>
      </w:pPr>
      <w:r>
        <w:t>Conclusions</w:t>
      </w:r>
    </w:p>
    <w:p w14:paraId="6A1BE3B5">
      <w:pPr>
        <w:spacing w:after="0"/>
        <w:jc w:val="left"/>
        <w:rPr>
          <w:rFonts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078631FB">
      <w:pPr>
        <w:keepNext w:val="0"/>
        <w:keepLines w:val="0"/>
        <w:pageBreakBefore w:val="0"/>
        <w:widowControl w:val="0"/>
        <w:kinsoku/>
        <w:wordWrap/>
        <w:overflowPunct/>
        <w:topLinePunct w:val="0"/>
        <w:autoSpaceDE/>
        <w:autoSpaceDN/>
        <w:bidi w:val="0"/>
        <w:adjustRightInd/>
        <w:snapToGrid/>
        <w:spacing w:after="0"/>
        <w:textAlignment w:val="auto"/>
        <w:rPr>
          <w:rFonts w:hint="eastAsia"/>
          <w:lang w:val="en-US" w:eastAsia="zh-CN"/>
        </w:rPr>
      </w:pPr>
      <w:r>
        <w:rPr>
          <w:rFonts w:hint="eastAsia"/>
          <w:b/>
          <w:bCs/>
          <w:lang w:val="en-US" w:eastAsia="zh-CN"/>
        </w:rPr>
        <w:t>Proposal 1</w:t>
      </w:r>
      <w:r>
        <w:rPr>
          <w:rFonts w:hint="eastAsia"/>
          <w:lang w:val="en-US" w:eastAsia="zh-CN"/>
        </w:rPr>
        <w:t>: RAN4 need to discuss the following two issues for TRP measurement:</w:t>
      </w:r>
    </w:p>
    <w:p w14:paraId="42CC5494">
      <w:pPr>
        <w:numPr>
          <w:ilvl w:val="0"/>
          <w:numId w:val="7"/>
        </w:numPr>
        <w:rPr>
          <w:rFonts w:hint="default"/>
          <w:lang w:val="en-US" w:eastAsia="zh-CN"/>
        </w:rPr>
      </w:pPr>
      <w:r>
        <w:rPr>
          <w:rFonts w:hint="eastAsia"/>
          <w:lang w:val="en-US" w:eastAsia="zh-CN"/>
        </w:rPr>
        <w:t xml:space="preserve">Potential underestimated TRP if two cuts + Pattern multiplication or two cuts+pattern multiplication; </w:t>
      </w:r>
    </w:p>
    <w:p w14:paraId="1284A96C">
      <w:pPr>
        <w:numPr>
          <w:ilvl w:val="0"/>
          <w:numId w:val="7"/>
        </w:numPr>
        <w:rPr>
          <w:rFonts w:hint="default"/>
          <w:lang w:val="en-US" w:eastAsia="zh-CN"/>
        </w:rPr>
      </w:pPr>
      <w:r>
        <w:rPr>
          <w:rFonts w:hint="eastAsia"/>
          <w:lang w:val="en-US" w:eastAsia="zh-CN"/>
        </w:rPr>
        <w:t xml:space="preserve"> For OTA base station output power, ACLR and operating band unwanted emissions, whether measurement step 1 could be representative for the measurement in step 2 or if NR BS in step 1 fulfilling the accuracy requirement can also guarantee that NR BS in step 2 also fulfilling the accuracy requirement.</w:t>
      </w:r>
    </w:p>
    <w:p w14:paraId="37BFD0DC">
      <w:pPr>
        <w:numPr>
          <w:ilvl w:val="0"/>
          <w:numId w:val="0"/>
        </w:numPr>
        <w:rPr>
          <w:rFonts w:hint="default"/>
          <w:lang w:val="en-US" w:eastAsia="zh-CN"/>
        </w:rPr>
      </w:pPr>
      <w:r>
        <w:rPr>
          <w:rFonts w:hint="eastAsia"/>
          <w:b/>
          <w:bCs/>
          <w:lang w:val="en-US" w:eastAsia="zh-CN"/>
        </w:rPr>
        <w:t>Proposal 2</w:t>
      </w:r>
      <w:r>
        <w:rPr>
          <w:rFonts w:hint="eastAsia"/>
          <w:lang w:val="en-US" w:eastAsia="zh-CN"/>
        </w:rPr>
        <w:t>: RAN4 needs to provide more analysis or simulation/measurement results for correction factor between two/three cuts and dense sampling as captured annex I.2 to I.9 except annex I.5.</w:t>
      </w:r>
    </w:p>
    <w:p w14:paraId="7CA61814">
      <w:pPr>
        <w:pStyle w:val="59"/>
        <w:tabs>
          <w:tab w:val="left" w:pos="567"/>
          <w:tab w:val="clear" w:pos="1985"/>
        </w:tabs>
        <w:adjustRightInd w:val="0"/>
        <w:ind w:left="510" w:hanging="510"/>
      </w:pPr>
      <w:r>
        <w:t>References</w:t>
      </w:r>
    </w:p>
    <w:p w14:paraId="12E5D5F0">
      <w:pPr>
        <w:pStyle w:val="57"/>
        <w:numPr>
          <w:ilvl w:val="0"/>
          <w:numId w:val="8"/>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7"/>
        <w:numPr>
          <w:ilvl w:val="0"/>
          <w:numId w:val="8"/>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7"/>
        <w:numPr>
          <w:ilvl w:val="0"/>
          <w:numId w:val="8"/>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00861CCE">
      <w:pPr>
        <w:keepNext w:val="0"/>
        <w:keepLines w:val="0"/>
        <w:pageBreakBefore w:val="0"/>
        <w:widowControl w:val="0"/>
        <w:numPr>
          <w:ilvl w:val="0"/>
          <w:numId w:val="8"/>
        </w:numPr>
        <w:kinsoku/>
        <w:wordWrap/>
        <w:overflowPunct/>
        <w:topLinePunct w:val="0"/>
        <w:autoSpaceDE/>
        <w:autoSpaceDN/>
        <w:bidi w:val="0"/>
        <w:adjustRightInd/>
        <w:snapToGrid/>
        <w:spacing w:after="0"/>
        <w:ind w:left="0" w:leftChars="0" w:firstLine="0" w:firstLineChars="0"/>
        <w:textAlignment w:val="auto"/>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R4-2502375</w:t>
      </w:r>
      <w:r>
        <w:rPr>
          <w:rFonts w:hint="eastAsia" w:ascii="Times New Roman" w:hAnsi="Times New Roman" w:eastAsia="宋体" w:cs="Times New Roman"/>
          <w:kern w:val="2"/>
          <w:sz w:val="20"/>
          <w:szCs w:val="20"/>
          <w:lang w:val="en-US" w:eastAsia="zh-CN" w:bidi="ar-SA"/>
        </w:rPr>
        <w:tab/>
      </w:r>
      <w:r>
        <w:rPr>
          <w:rFonts w:hint="eastAsia" w:ascii="Times New Roman" w:hAnsi="Times New Roman" w:eastAsia="宋体" w:cs="Times New Roman"/>
          <w:kern w:val="2"/>
          <w:sz w:val="20"/>
          <w:szCs w:val="20"/>
          <w:lang w:val="en-US" w:eastAsia="zh-CN" w:bidi="ar-SA"/>
        </w:rPr>
        <w:t>Way Forward for [114][304] NR_BS_RF_Part3_OTA_TRP</w:t>
      </w:r>
      <w:r>
        <w:rPr>
          <w:rFonts w:hint="eastAsia" w:cs="Times New Roman"/>
          <w:kern w:val="2"/>
          <w:sz w:val="20"/>
          <w:szCs w:val="20"/>
          <w:lang w:val="en-US" w:eastAsia="zh-CN" w:bidi="ar-SA"/>
        </w:rPr>
        <w:t>, ZTE, approved.</w:t>
      </w:r>
    </w:p>
    <w:p w14:paraId="38CC1548">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rPr>
      </w:pPr>
      <w:r>
        <w:rPr>
          <w:rFonts w:hint="eastAsia" w:eastAsia="宋体"/>
          <w:sz w:val="20"/>
          <w:szCs w:val="20"/>
          <w:lang w:val="en-US" w:eastAsia="zh-CN"/>
        </w:rPr>
        <w:t>R4-2504740</w:t>
      </w:r>
      <w:r>
        <w:rPr>
          <w:rFonts w:hint="eastAsia" w:eastAsia="宋体"/>
          <w:sz w:val="20"/>
          <w:szCs w:val="20"/>
          <w:lang w:val="en-US" w:eastAsia="zh-CN"/>
        </w:rPr>
        <w:tab/>
      </w:r>
      <w:r>
        <w:rPr>
          <w:rFonts w:hint="eastAsia" w:eastAsia="宋体"/>
          <w:sz w:val="20"/>
          <w:szCs w:val="20"/>
          <w:lang w:val="en-US" w:eastAsia="zh-CN"/>
        </w:rPr>
        <w:t>Way Forward for [114bis][304] NR_BS_RF_Part3_OTA_TRP, ZTE, approved.</w:t>
      </w:r>
    </w:p>
    <w:p w14:paraId="7B4C1BBD">
      <w:pPr>
        <w:pStyle w:val="59"/>
        <w:tabs>
          <w:tab w:val="left" w:pos="567"/>
          <w:tab w:val="clear" w:pos="1985"/>
        </w:tabs>
        <w:adjustRightInd w:val="0"/>
        <w:ind w:left="510" w:hanging="510"/>
      </w:pPr>
      <w:r>
        <w:rPr>
          <w:rFonts w:hint="eastAsia"/>
          <w:lang w:val="en-US" w:eastAsia="zh-CN"/>
        </w:rPr>
        <w:t>Annex</w:t>
      </w:r>
    </w:p>
    <w:p w14:paraId="3D804267">
      <w:pPr>
        <w:pStyle w:val="10"/>
        <w:ind w:left="0" w:leftChars="0" w:firstLine="0" w:firstLineChars="0"/>
      </w:pPr>
      <w:bookmarkStart w:id="5" w:name="_Toc137396869"/>
      <w:bookmarkStart w:id="6" w:name="_Toc99703300"/>
      <w:bookmarkStart w:id="7" w:name="_Toc58918299"/>
      <w:bookmarkStart w:id="8" w:name="_Toc76544705"/>
      <w:bookmarkStart w:id="9" w:name="_Toc106207092"/>
      <w:bookmarkStart w:id="10" w:name="_Toc124154944"/>
      <w:bookmarkStart w:id="11" w:name="_Toc36636325"/>
      <w:bookmarkStart w:id="12" w:name="_Toc156578312"/>
      <w:bookmarkStart w:id="13" w:name="_Toc58916118"/>
      <w:bookmarkStart w:id="14" w:name="_Toc37273271"/>
      <w:bookmarkStart w:id="15" w:name="_Toc29810964"/>
      <w:bookmarkStart w:id="16" w:name="_Toc115081094"/>
      <w:bookmarkStart w:id="17" w:name="_Toc53183406"/>
      <w:bookmarkStart w:id="18" w:name="_Toc89953120"/>
      <w:bookmarkStart w:id="19" w:name="_Toc82536827"/>
      <w:bookmarkStart w:id="20" w:name="_Toc45886361"/>
      <w:bookmarkStart w:id="21" w:name="_Toc98766937"/>
      <w:bookmarkStart w:id="22" w:name="_Toc74916194"/>
      <w:bookmarkStart w:id="23" w:name="_Toc21103115"/>
      <w:bookmarkStart w:id="24" w:name="_Toc122000045"/>
      <w:bookmarkStart w:id="25" w:name="_Toc66694169"/>
      <w:bookmarkStart w:id="26" w:name="_Toc187258433"/>
      <w:bookmarkStart w:id="27" w:name="_Toc76114819"/>
      <w:bookmarkStart w:id="28" w:name="_Toc176949626"/>
      <w:r>
        <w:t>Annex I (normative):</w:t>
      </w:r>
      <w:r>
        <w:br w:type="textWrapping"/>
      </w:r>
      <w:r>
        <w:t>TRP measurement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802D00">
      <w:pPr>
        <w:pStyle w:val="2"/>
      </w:pPr>
      <w:bookmarkStart w:id="29" w:name="_Toc53183407"/>
      <w:bookmarkStart w:id="30" w:name="_Toc29810965"/>
      <w:bookmarkStart w:id="31" w:name="_Toc89953121"/>
      <w:bookmarkStart w:id="32" w:name="_Toc99703301"/>
      <w:bookmarkStart w:id="33" w:name="_Toc82536828"/>
      <w:bookmarkStart w:id="34" w:name="_Toc76114820"/>
      <w:bookmarkStart w:id="35" w:name="_Toc156578313"/>
      <w:bookmarkStart w:id="36" w:name="_Toc98766938"/>
      <w:bookmarkStart w:id="37" w:name="_Toc45886362"/>
      <w:bookmarkStart w:id="38" w:name="_Toc106207093"/>
      <w:bookmarkStart w:id="39" w:name="_Toc36636326"/>
      <w:bookmarkStart w:id="40" w:name="_Toc187258434"/>
      <w:bookmarkStart w:id="41" w:name="_Toc122000046"/>
      <w:bookmarkStart w:id="42" w:name="_Toc66694170"/>
      <w:bookmarkStart w:id="43" w:name="_Toc21103116"/>
      <w:bookmarkStart w:id="44" w:name="_Toc58918300"/>
      <w:bookmarkStart w:id="45" w:name="_Toc176949627"/>
      <w:bookmarkStart w:id="46" w:name="_Toc137396870"/>
      <w:bookmarkStart w:id="47" w:name="_Toc74916195"/>
      <w:bookmarkStart w:id="48" w:name="_Toc124154945"/>
      <w:bookmarkStart w:id="49" w:name="_Toc76544706"/>
      <w:bookmarkStart w:id="50" w:name="_Toc58916119"/>
      <w:bookmarkStart w:id="51" w:name="_Toc37273272"/>
      <w:bookmarkStart w:id="52" w:name="_Toc115081095"/>
      <w:r>
        <w:t>I.1</w:t>
      </w:r>
      <w:r>
        <w:tab/>
      </w:r>
      <w: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4B530F">
      <w: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BE3C3E">
      <w:r>
        <w:t>When making TRP measurements the alignment between EUT and measurement antenna is important to achieve expected measurement uncertainty:</w:t>
      </w:r>
    </w:p>
    <w:p w14:paraId="53C268C1">
      <w:pPr>
        <w:pStyle w:val="54"/>
      </w:pPr>
      <w:r>
        <w:t>1.</w:t>
      </w:r>
      <w:r>
        <w:tab/>
      </w:r>
      <w:r>
        <w:t>The measurement antenna needs to be aligned tangential to the measurement surface forming a sphere around the EUT, in order to correctly measure the TRP properly.</w:t>
      </w:r>
    </w:p>
    <w:p w14:paraId="242BE0C6">
      <w:pPr>
        <w:pStyle w:val="54"/>
      </w:pPr>
      <w:r>
        <w:t>2.</w:t>
      </w:r>
      <w:r>
        <w:tab/>
      </w:r>
      <w:r>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70C9C552">
      <w:pPr>
        <w:pStyle w:val="54"/>
      </w:pPr>
      <w:r>
        <w:t>3.</w:t>
      </w:r>
      <w:r>
        <w:tab/>
      </w:r>
      <w:r>
        <w:t>Test methods described in clause I.5.3, I.6 and I.9 are designed to be independent of rotations of the angular grid, and hence angular alignment between the measurement grid and EUT is not needed.</w:t>
      </w:r>
    </w:p>
    <w:p w14:paraId="5913CFA1">
      <w:pPr>
        <w:pStyle w:val="2"/>
      </w:pPr>
      <w:bookmarkStart w:id="53" w:name="_Toc89953122"/>
      <w:bookmarkStart w:id="54" w:name="_Toc82536829"/>
      <w:bookmarkStart w:id="55" w:name="_Toc98766939"/>
      <w:bookmarkStart w:id="56" w:name="_Toc21103117"/>
      <w:bookmarkStart w:id="57" w:name="_Toc115081096"/>
      <w:bookmarkStart w:id="58" w:name="_Toc137396871"/>
      <w:bookmarkStart w:id="59" w:name="_Toc187258435"/>
      <w:bookmarkStart w:id="60" w:name="_Toc37273273"/>
      <w:bookmarkStart w:id="61" w:name="_Toc66694171"/>
      <w:bookmarkStart w:id="62" w:name="_Toc156578314"/>
      <w:bookmarkStart w:id="63" w:name="_Toc36636327"/>
      <w:bookmarkStart w:id="64" w:name="_Toc124154946"/>
      <w:bookmarkStart w:id="65" w:name="_Toc29810966"/>
      <w:bookmarkStart w:id="66" w:name="_Toc176949628"/>
      <w:bookmarkStart w:id="67" w:name="_Toc53183408"/>
      <w:bookmarkStart w:id="68" w:name="_Toc45886363"/>
      <w:bookmarkStart w:id="69" w:name="_Toc58916120"/>
      <w:bookmarkStart w:id="70" w:name="_Toc58918301"/>
      <w:bookmarkStart w:id="71" w:name="_Toc74916196"/>
      <w:bookmarkStart w:id="72" w:name="_Toc76114821"/>
      <w:bookmarkStart w:id="73" w:name="_Toc106207094"/>
      <w:bookmarkStart w:id="74" w:name="_Toc76544707"/>
      <w:bookmarkStart w:id="75" w:name="_Toc122000047"/>
      <w:bookmarkStart w:id="76" w:name="_Toc99703302"/>
      <w:r>
        <w:t>I.2</w:t>
      </w:r>
      <w:r>
        <w:tab/>
      </w:r>
      <w:r>
        <w:t>Spherical equal angle grid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1129E1">
      <w:pPr>
        <w:pStyle w:val="3"/>
      </w:pPr>
      <w:bookmarkStart w:id="77" w:name="_Toc98766940"/>
      <w:bookmarkStart w:id="78" w:name="_Toc36636328"/>
      <w:bookmarkStart w:id="79" w:name="_Toc66694172"/>
      <w:bookmarkStart w:id="80" w:name="_Toc45886364"/>
      <w:bookmarkStart w:id="81" w:name="_Toc122000048"/>
      <w:bookmarkStart w:id="82" w:name="_Toc187258436"/>
      <w:bookmarkStart w:id="83" w:name="_Toc21103118"/>
      <w:bookmarkStart w:id="84" w:name="_Toc29810967"/>
      <w:bookmarkStart w:id="85" w:name="_Toc99703303"/>
      <w:bookmarkStart w:id="86" w:name="_Toc53183409"/>
      <w:bookmarkStart w:id="87" w:name="_Toc76114822"/>
      <w:bookmarkStart w:id="88" w:name="_Toc82536830"/>
      <w:bookmarkStart w:id="89" w:name="_Toc58916121"/>
      <w:bookmarkStart w:id="90" w:name="_Toc124154947"/>
      <w:bookmarkStart w:id="91" w:name="_Toc156578315"/>
      <w:bookmarkStart w:id="92" w:name="_Toc76544708"/>
      <w:bookmarkStart w:id="93" w:name="_Toc37273274"/>
      <w:bookmarkStart w:id="94" w:name="_Toc58918302"/>
      <w:bookmarkStart w:id="95" w:name="_Toc89953123"/>
      <w:bookmarkStart w:id="96" w:name="_Toc137396872"/>
      <w:bookmarkStart w:id="97" w:name="_Toc115081097"/>
      <w:bookmarkStart w:id="98" w:name="_Toc74916197"/>
      <w:bookmarkStart w:id="99" w:name="_Toc106207095"/>
      <w:bookmarkStart w:id="100" w:name="_Toc176949629"/>
      <w:r>
        <w:rPr>
          <w:rFonts w:hint="eastAsia"/>
          <w:lang w:eastAsia="zh-CN"/>
        </w:rPr>
        <w:t>I.2.</w:t>
      </w:r>
      <w:r>
        <w:rPr>
          <w:lang w:eastAsia="zh-CN"/>
        </w:rPr>
        <w:t>1</w:t>
      </w:r>
      <w:r>
        <w:tab/>
      </w:r>
      <w:r>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5808722">
      <w:r>
        <w:t>TRP</w:t>
      </w:r>
      <w:r>
        <w:rPr>
          <w:vertAlign w:val="subscript"/>
        </w:rPr>
        <w:t>Estimate</w:t>
      </w:r>
      <w:r>
        <w:t xml:space="preserve"> is defined as</w:t>
      </w:r>
    </w:p>
    <w:p w14:paraId="5ECD20DB">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1A9A7A2">
      <w:r>
        <w:t>when EIRP measurements is used or as</w:t>
      </w:r>
    </w:p>
    <w:p w14:paraId="0490B84A">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=4</m:t>
          </m:r>
          <m:r>
            <m:rPr/>
            <w:rPr>
              <w:rFonts w:ascii="Cambria Math" w:hAnsi="Cambria Math"/>
            </w:rPr>
            <m:t>π</m:t>
          </m:r>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A5F8A27">
      <w:r>
        <w:t xml:space="preserve">when power density measurements are used, and d is the test distance. N and M are the number of samples in the </w:t>
      </w:r>
      <m:oMath>
        <m:r>
          <m:rPr/>
          <w:rPr>
            <w:rFonts w:ascii="Cambria Math" w:hAnsi="Cambria Math"/>
          </w:rPr>
          <m:t>θ</m:t>
        </m:r>
      </m:oMath>
      <w:r>
        <w:t xml:space="preserve"> and </w:t>
      </w:r>
      <m:oMath>
        <m:r>
          <m:rPr/>
          <w:rPr>
            <w:rFonts w:ascii="Cambria Math" w:hAnsi="Cambria Math"/>
          </w:rPr>
          <m:t>ϕ</m:t>
        </m:r>
      </m:oMath>
      <w:r>
        <w:t xml:space="preserve"> angles.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m</m:t>
            </m:r>
            <m:ctrlPr>
              <w:rPr>
                <w:rFonts w:ascii="Cambria Math" w:hAnsi="Cambria Math"/>
                <w:i/>
              </w:rPr>
            </m:ctrlPr>
          </m:sub>
        </m:sSub>
      </m:oMath>
      <w:r>
        <w:t xml:space="preserve">) is a sampling point. The sampling angular intervals for </w:t>
      </w:r>
      <m:oMath>
        <m:r>
          <m:rPr/>
          <w:rPr>
            <w:rFonts w:ascii="Cambria Math" w:hAnsi="Cambria Math"/>
          </w:rPr>
          <m:t>θ</m:t>
        </m:r>
      </m:oMath>
      <w:r>
        <w:t xml:space="preserve"> and </w:t>
      </w:r>
      <m:oMath>
        <m:r>
          <m:rPr/>
          <w:rPr>
            <w:rFonts w:ascii="Cambria Math" w:hAnsi="Cambria Math"/>
          </w:rPr>
          <m:t>ϕ</m:t>
        </m:r>
      </m:oMath>
      <w:r>
        <w:t xml:space="preserve"> angles are </w:t>
      </w:r>
      <m:oMath>
        <m:r>
          <m:rPr>
            <m:sty m:val="p"/>
          </m:rPr>
          <w:rPr>
            <w:rFonts w:ascii="Cambria Math" w:hAnsi="Cambria Math"/>
          </w:rPr>
          <m:t>Δ</m:t>
        </m:r>
        <m:r>
          <m:rPr/>
          <w:rPr>
            <w:rFonts w:ascii="Cambria Math" w:hAnsi="Cambria Math"/>
          </w:rPr>
          <m:t>θ=</m:t>
        </m:r>
        <m:f>
          <m:fPr>
            <m:ctrlPr>
              <w:rPr>
                <w:rFonts w:ascii="Cambria Math" w:hAnsi="Cambria Math"/>
                <w:i/>
              </w:rPr>
            </m:ctrlPr>
          </m:fPr>
          <m:num>
            <m:r>
              <m:rPr/>
              <w:rPr>
                <w:rFonts w:ascii="Cambria Math" w:hAnsi="Cambria Math"/>
              </w:rPr>
              <m:t>π</m:t>
            </m:r>
            <m:ctrlPr>
              <w:rPr>
                <w:rFonts w:ascii="Cambria Math" w:hAnsi="Cambria Math"/>
                <w:i/>
              </w:rPr>
            </m:ctrlPr>
          </m:num>
          <m:den>
            <m:r>
              <m:rPr/>
              <w:rPr>
                <w:rFonts w:ascii="Cambria Math" w:hAnsi="Cambria Math"/>
              </w:rPr>
              <m:t>N</m:t>
            </m:r>
            <m:ctrlPr>
              <w:rPr>
                <w:rFonts w:ascii="Cambria Math" w:hAnsi="Cambria Math"/>
                <w:i/>
              </w:rPr>
            </m:ctrlPr>
          </m:den>
        </m:f>
      </m:oMath>
      <w:r>
        <w:t xml:space="preserve"> and </w:t>
      </w:r>
      <m:oMath>
        <m:r>
          <m:rPr>
            <m:sty m:val="p"/>
          </m:rPr>
          <w:rPr>
            <w:rFonts w:ascii="Cambria Math" w:hAnsi="Cambria Math"/>
          </w:rPr>
          <m:t>Δ</m:t>
        </m:r>
        <m:r>
          <m:rPr/>
          <w:rPr>
            <w:rFonts w:ascii="Cambria Math" w:hAnsi="Cambria Math"/>
          </w:rPr>
          <m:t>ϕ=</m:t>
        </m:r>
        <m:f>
          <m:fPr>
            <m:ctrlPr>
              <w:rPr>
                <w:rFonts w:ascii="Cambria Math" w:hAnsi="Cambria Math"/>
                <w:i/>
              </w:rPr>
            </m:ctrlPr>
          </m:fPr>
          <m:num>
            <m:r>
              <m:rPr/>
              <w:rPr>
                <w:rFonts w:ascii="Cambria Math" w:hAnsi="Cambria Math"/>
              </w:rPr>
              <m:t>2π</m:t>
            </m:r>
            <m:ctrlPr>
              <w:rPr>
                <w:rFonts w:ascii="Cambria Math" w:hAnsi="Cambria Math"/>
                <w:i/>
              </w:rPr>
            </m:ctrlPr>
          </m:num>
          <m:den>
            <m:r>
              <m:rPr/>
              <w:rPr>
                <w:rFonts w:ascii="Cambria Math" w:hAnsi="Cambria Math"/>
              </w:rPr>
              <m:t>M</m:t>
            </m:r>
            <m:ctrlPr>
              <w:rPr>
                <w:rFonts w:ascii="Cambria Math" w:hAnsi="Cambria Math"/>
                <w:i/>
              </w:rPr>
            </m:ctrlPr>
          </m:den>
        </m:f>
      </m:oMath>
      <w:r>
        <w:t xml:space="preserve">. The sampling intervals </w:t>
      </w:r>
      <m:oMath>
        <m:r>
          <m:rPr>
            <m:sty m:val="p"/>
          </m:rPr>
          <w:rPr>
            <w:rFonts w:ascii="Cambria Math" w:hAnsi="Cambria Math"/>
          </w:rPr>
          <m:t>Δ</m:t>
        </m:r>
        <m:r>
          <m:rPr/>
          <w:rPr>
            <w:rFonts w:ascii="Cambria Math" w:hAnsi="Cambria Math"/>
          </w:rPr>
          <m:t>θ</m:t>
        </m:r>
      </m:oMath>
      <w:r>
        <w:t xml:space="preserve"> and </w:t>
      </w:r>
      <m:oMath>
        <m:r>
          <m:rPr>
            <m:sty m:val="p"/>
          </m:rPr>
          <w:rPr>
            <w:rFonts w:ascii="Cambria Math" w:hAnsi="Cambria Math"/>
          </w:rPr>
          <m:t>Δ</m:t>
        </m:r>
        <m:r>
          <m:rPr/>
          <w:rPr>
            <w:rFonts w:ascii="Cambria Math" w:hAnsi="Cambria Math"/>
          </w:rPr>
          <m:t>ϕ</m:t>
        </m:r>
      </m:oMath>
      <w:r>
        <w:t xml:space="preserve"> are described in I.2.2.</w:t>
      </w:r>
    </w:p>
    <w:p w14:paraId="73BE17B7">
      <w:pPr>
        <w:pStyle w:val="3"/>
        <w:rPr>
          <w:lang w:eastAsia="zh-CN"/>
        </w:rPr>
      </w:pPr>
      <w:bookmarkStart w:id="101" w:name="_Toc176949630"/>
      <w:bookmarkStart w:id="102" w:name="_Toc82536831"/>
      <w:bookmarkStart w:id="103" w:name="_Toc98766941"/>
      <w:bookmarkStart w:id="104" w:name="_Toc58918303"/>
      <w:bookmarkStart w:id="105" w:name="_Toc37273275"/>
      <w:bookmarkStart w:id="106" w:name="_Toc21103119"/>
      <w:bookmarkStart w:id="107" w:name="_Toc187258437"/>
      <w:bookmarkStart w:id="108" w:name="_Toc156578316"/>
      <w:bookmarkStart w:id="109" w:name="_Toc124154948"/>
      <w:bookmarkStart w:id="110" w:name="_Toc29810968"/>
      <w:bookmarkStart w:id="111" w:name="_Toc53183410"/>
      <w:bookmarkStart w:id="112" w:name="_Toc122000049"/>
      <w:bookmarkStart w:id="113" w:name="_Toc66694173"/>
      <w:bookmarkStart w:id="114" w:name="_Toc74916198"/>
      <w:bookmarkStart w:id="115" w:name="_Toc76114823"/>
      <w:bookmarkStart w:id="116" w:name="_Toc89953124"/>
      <w:bookmarkStart w:id="117" w:name="_Toc76544709"/>
      <w:bookmarkStart w:id="118" w:name="_Toc137396873"/>
      <w:bookmarkStart w:id="119" w:name="_Toc45886365"/>
      <w:bookmarkStart w:id="120" w:name="_Toc99703304"/>
      <w:bookmarkStart w:id="121" w:name="_Toc36636329"/>
      <w:bookmarkStart w:id="122" w:name="_Toc58916122"/>
      <w:bookmarkStart w:id="123" w:name="_Toc106207096"/>
      <w:bookmarkStart w:id="124" w:name="_Toc115081098"/>
      <w:r>
        <w:rPr>
          <w:rFonts w:hint="eastAsia"/>
          <w:lang w:eastAsia="zh-CN"/>
        </w:rPr>
        <w:t>I.2.2</w:t>
      </w:r>
      <w:r>
        <w:tab/>
      </w:r>
      <w:r>
        <w:t>Reference angular step criteria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A0BFBD">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in degrees are defined as:</w:t>
      </w:r>
    </w:p>
    <w:p w14:paraId="674EF8AD">
      <w:pPr>
        <w:pStyle w:val="47"/>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2C562BC">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91E0EFA">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m:rP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653BC436">
      <w:pPr>
        <w:pStyle w:val="47"/>
        <w:rPr>
          <w:rFonts w:eastAsia="MS Mincho"/>
          <w:lang w:val="en-US"/>
        </w:rPr>
      </w:pPr>
      <w:r>
        <w:rPr>
          <w:rFonts w:eastAsia="MS Mincho"/>
        </w:rPr>
        <w:t>D</w:t>
      </w:r>
      <w:r>
        <w:rPr>
          <w:rFonts w:eastAsia="MS Mincho"/>
          <w:vertAlign w:val="subscript"/>
        </w:rPr>
        <w:t>cyl</w:t>
      </w:r>
      <w:r>
        <w:rPr>
          <w:rFonts w:eastAsia="MS Mincho"/>
          <w:lang w:val="en-US"/>
        </w:rPr>
        <w:t xml:space="preserve"> and D are calculated as:</w:t>
      </w:r>
    </w:p>
    <w:p w14:paraId="40E33FD5">
      <w:pPr>
        <w:pStyle w:val="47"/>
        <w:rPr>
          <w:rFonts w:eastAsia="MS Mincho"/>
          <w:lang w:val="en-US"/>
        </w:rPr>
      </w:pPr>
      <w:r>
        <w:rPr>
          <w:rFonts w:eastAsia="MS Mincho"/>
        </w:rPr>
        <w:t>`</w:t>
      </w:r>
      <w:r>
        <w:rPr>
          <w:rFonts w:eastAsia="MS Mincho"/>
        </w:rPr>
        <w:tab/>
      </w:r>
      <m:oMath>
        <m:sSub>
          <m:sSubPr>
            <m:ctrlPr>
              <w:rPr>
                <w:rFonts w:ascii="Cambria Math" w:hAnsi="Cambria Math"/>
              </w:rPr>
            </m:ctrlPr>
          </m:sSubPr>
          <m:e>
            <m:r>
              <m:rP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w:rPr>
                    <w:rFonts w:ascii="Cambria Math" w:hAnsi="Cambria Math"/>
                  </w:rPr>
                  <m:t>2</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rad>
      </m:oMath>
    </w:p>
    <w:p w14:paraId="3EE64D2C">
      <w:pPr>
        <w:pStyle w:val="47"/>
        <w:rPr>
          <w:rFonts w:eastAsia="MS Mincho"/>
        </w:rPr>
      </w:pPr>
      <w:r>
        <w:rPr>
          <w:rFonts w:eastAsia="MS Mincho"/>
        </w:rPr>
        <w:tab/>
      </w:r>
      <m:oMath>
        <m:r>
          <m:rP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ℎ</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14:paraId="27CB7E2F">
      <w:pPr>
        <w:rPr>
          <w:lang w:val="en-US"/>
        </w:rPr>
      </w:pPr>
      <w:r>
        <w:rPr>
          <w:rFonts w:eastAsia="MS Mincho"/>
          <w:lang w:val="en-US"/>
        </w:rPr>
        <w:t xml:space="preserve">The definition of d, w and h is shown in figure I.2.2-1. </w:t>
      </w:r>
      <w:r>
        <w:rPr>
          <w:lang w:val="en-US"/>
        </w:rPr>
        <w:t>The radiation source can be EUT antenna array or the whole of EUT.</w:t>
      </w:r>
    </w:p>
    <w:p w14:paraId="44B4890C">
      <w:pPr>
        <w:pStyle w:val="49"/>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14:paraId="5CFA5F22">
      <w:pPr>
        <w:pStyle w:val="53"/>
        <w:rPr>
          <w:lang w:val="en-US"/>
        </w:rPr>
      </w:pPr>
      <w:r>
        <w:rPr>
          <w:lang w:val="en-US"/>
        </w:rPr>
        <w:t xml:space="preserve">Figure </w:t>
      </w:r>
      <w:r>
        <w:t>I.2.2-1</w:t>
      </w:r>
      <w:r>
        <w:rPr>
          <w:lang w:val="en-US"/>
        </w:rPr>
        <w:t>: Dimensions of a radiation source: depth (d), width (w) and height (h)</w:t>
      </w:r>
    </w:p>
    <w:p w14:paraId="0C208A06">
      <w:pPr>
        <w:rPr>
          <w:lang w:val="en-US" w:eastAsia="zh-CN"/>
        </w:rPr>
      </w:pPr>
      <w:r>
        <w:rPr>
          <w:lang w:val="en-US" w:eastAsia="zh-CN"/>
        </w:rPr>
        <w:t xml:space="preserve">Optionally, in the case of Uniform Linear Array (ULA), when d is negligible (d </w:t>
      </w:r>
      <m:oMath>
        <m:r>
          <m:rP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14:paraId="2B04A4A8">
      <w:pPr>
        <w:pStyle w:val="47"/>
        <w:rPr>
          <w:lang w:val="en-US" w:eastAsia="zh-CN"/>
        </w:rPr>
      </w:pPr>
      <w:r>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w:p>
    <w:p w14:paraId="6C2D8DC1">
      <w:pPr>
        <w:pStyle w:val="47"/>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14:paraId="55DA8478">
      <w:pP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lang w:val="en-US" w:eastAsia="zh-CN"/>
        </w:rPr>
        <w:t xml:space="preserve"> is wavelength for the measured frequency.</w:t>
      </w:r>
    </w:p>
    <w:p w14:paraId="431CB6DB">
      <w:pPr>
        <w:pStyle w:val="49"/>
        <w:rPr>
          <w:lang w:val="en-US" w:eastAsia="zh-CN"/>
        </w:rPr>
      </w:pPr>
      <w:r>
        <w:rPr>
          <w:lang w:val="en-US" w:eastAsia="zh-CN"/>
        </w:rPr>
        <w:drawing>
          <wp:inline distT="0" distB="0" distL="0" distR="0">
            <wp:extent cx="2879725" cy="2879725"/>
            <wp:effectExtent l="0" t="0" r="15875" b="15875"/>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Fig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14:paraId="3F9FD3D0">
      <w:pPr>
        <w:pStyle w:val="53"/>
        <w:rPr>
          <w:lang w:val="en-US"/>
        </w:rPr>
      </w:pPr>
      <w:r>
        <w:rPr>
          <w:lang w:val="en-US"/>
        </w:rPr>
        <w:t xml:space="preserve">Figure </w:t>
      </w:r>
      <w:r>
        <w:rPr>
          <w:rFonts w:hint="eastAsia"/>
          <w:lang w:val="en-US" w:eastAsia="zh-CN"/>
        </w:rPr>
        <w:t>I2.2-</w:t>
      </w:r>
      <w:r>
        <w:rPr>
          <w:lang w:val="en-US" w:eastAsia="zh-CN"/>
        </w:rPr>
        <w:t>2:</w:t>
      </w:r>
      <w:r>
        <w:rPr>
          <w:lang w:val="en-US"/>
        </w:rPr>
        <w:t xml:space="preserve"> Spherical coordinate for OTA conformance testing of EUT</w:t>
      </w:r>
    </w:p>
    <w:p w14:paraId="718DADBF">
      <w:pPr>
        <w:rPr>
          <w:rFonts w:ascii="Cambria Math" w:hAnsi="Cambria Math"/>
          <w:i/>
          <w:lang w:val="en-US"/>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rPr>
        <w:t xml:space="preserve">sparsity </w:t>
      </w:r>
      <w:r>
        <w:rPr>
          <w:rFonts w:hint="eastAsia"/>
          <w:lang w:val="en-US" w:eastAsia="zh-CN"/>
        </w:rPr>
        <w:t>factor)</w:t>
      </w:r>
      <w:r>
        <w:rPr>
          <w:lang w:val="en-US" w:eastAsia="zh-CN"/>
        </w:rPr>
        <w:t xml:space="preserve"> </w:t>
      </w:r>
      <w:r>
        <w:rPr>
          <w:rFonts w:eastAsia="MS Mincho"/>
        </w:rPr>
        <w:t>of the grid is defined as</w:t>
      </w:r>
    </w:p>
    <w:p w14:paraId="634F7AC3">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Δθ</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w:rPr>
                        <w:rFonts w:ascii="Cambria Math" w:hAnsi="Cambria Math"/>
                        <w:lang w:eastAsia="zh-CN"/>
                      </w:rPr>
                      <m:t>Δ</m:t>
                    </m:r>
                    <m:sSub>
                      <m:sSubPr>
                        <m:ctrlPr>
                          <w:rPr>
                            <w:rFonts w:ascii="Cambria Math" w:hAnsi="Cambria Math"/>
                            <w:lang w:eastAsia="zh-CN"/>
                          </w:rPr>
                        </m:ctrlPr>
                      </m:sSubPr>
                      <m:e>
                        <m:r>
                          <m:rPr/>
                          <w:rPr>
                            <w:rFonts w:ascii="Cambria Math" w:hAnsi="Cambria Math"/>
                            <w:lang w:eastAsia="zh-CN"/>
                          </w:rPr>
                          <m:t>θ</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1C6EC47F">
      <w:pPr>
        <w:rPr>
          <w:rFonts w:eastAsia="MS Mincho"/>
          <w:lang w:val="en-US"/>
        </w:rPr>
      </w:pPr>
      <w:r>
        <w:rPr>
          <w:rFonts w:eastAsia="MS Mincho"/>
        </w:rPr>
        <w:t xml:space="preserve">Where </w:t>
      </w:r>
      <m:oMath>
        <m:sSub>
          <m:sSubPr>
            <m:ctrlPr>
              <w:rPr>
                <w:rFonts w:ascii="Cambria Math" w:hAnsi="Cambria Math"/>
                <w:i/>
                <w:lang w:eastAsia="zh-CN"/>
              </w:rPr>
            </m:ctrlPr>
          </m:sSubPr>
          <m:e>
            <m:r>
              <m:rP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m:rP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14:paraId="0A6BE2FD">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14:paraId="67EFB0A4">
      <w:pPr>
        <w:pStyle w:val="47"/>
      </w:pPr>
      <w:r>
        <w:rPr>
          <w:rFonts w:eastAsia="MS Mincho"/>
        </w:rPr>
        <w:tab/>
      </w:r>
      <m:oMath>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ϕ</m:t>
            </m:r>
            <m:ctrlPr>
              <w:rPr>
                <w:rFonts w:ascii="Cambria Math" w:hAnsi="Cambria Math"/>
              </w:rPr>
            </m:ctrlPr>
          </m:sub>
        </m:sSub>
      </m:oMath>
    </w:p>
    <w:p w14:paraId="21E34861">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θ</m:t>
            </m:r>
            <m:ctrlPr>
              <w:rPr>
                <w:rFonts w:ascii="Cambria Math" w:hAnsi="Cambria Math"/>
              </w:rPr>
            </m:ctrlPr>
          </m:sub>
        </m:sSub>
      </m:oMath>
    </w:p>
    <w:p w14:paraId="2648EE66">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14:paraId="56EE75D4">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14:paraId="152B1764">
      <w:pPr>
        <w:pStyle w:val="45"/>
      </w:pPr>
      <w:r>
        <w:t>NOTE:</w:t>
      </w:r>
      <w:r>
        <w:tab/>
      </w:r>
      <w:r>
        <w:rPr>
          <w:i/>
          <w:iCs/>
        </w:rPr>
        <w:t xml:space="preserve">Beamwidth </w:t>
      </w:r>
      <w:r>
        <w:t>is approximately equal to half the first-null beam width.</w:t>
      </w:r>
    </w:p>
    <w:p w14:paraId="312D14D8">
      <w:pPr>
        <w:pStyle w:val="2"/>
      </w:pPr>
      <w:bookmarkStart w:id="125" w:name="_Toc106207097"/>
      <w:bookmarkStart w:id="126" w:name="_Toc76544710"/>
      <w:bookmarkStart w:id="127" w:name="_Toc74916199"/>
      <w:bookmarkStart w:id="128" w:name="_Toc37273276"/>
      <w:bookmarkStart w:id="129" w:name="_Toc36636330"/>
      <w:bookmarkStart w:id="130" w:name="_Toc99703305"/>
      <w:bookmarkStart w:id="131" w:name="_Toc82536832"/>
      <w:bookmarkStart w:id="132" w:name="_Toc137396874"/>
      <w:bookmarkStart w:id="133" w:name="_Toc115081099"/>
      <w:bookmarkStart w:id="134" w:name="_Toc53183411"/>
      <w:bookmarkStart w:id="135" w:name="_Toc122000050"/>
      <w:bookmarkStart w:id="136" w:name="_Toc176949631"/>
      <w:bookmarkStart w:id="137" w:name="_Toc66694174"/>
      <w:bookmarkStart w:id="138" w:name="_Toc156578317"/>
      <w:bookmarkStart w:id="139" w:name="_Toc89953125"/>
      <w:bookmarkStart w:id="140" w:name="_Toc124154949"/>
      <w:bookmarkStart w:id="141" w:name="_Toc29810969"/>
      <w:bookmarkStart w:id="142" w:name="_Toc58916123"/>
      <w:bookmarkStart w:id="143" w:name="_Toc187258438"/>
      <w:bookmarkStart w:id="144" w:name="_Toc98766942"/>
      <w:bookmarkStart w:id="145" w:name="_Toc45886366"/>
      <w:bookmarkStart w:id="146" w:name="_Toc21103120"/>
      <w:bookmarkStart w:id="147" w:name="_Toc76114824"/>
      <w:bookmarkStart w:id="148" w:name="_Toc58918304"/>
      <w:r>
        <w:t>I.3</w:t>
      </w:r>
      <w:r>
        <w:tab/>
      </w:r>
      <w:r>
        <w:t>Spherical equal area grid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985812E">
      <w:r>
        <w:t>TRP</w:t>
      </w:r>
      <w:r>
        <w:rPr>
          <w:vertAlign w:val="subscript"/>
        </w:rPr>
        <w:t>Estimate</w:t>
      </w:r>
      <w:r>
        <w:t xml:space="preserve"> is defined as</w:t>
      </w:r>
    </w:p>
    <w:p w14:paraId="01B98BF8">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16AA6F8F">
      <w:r>
        <w:t>N is the total number of samples and specified as</w:t>
      </w:r>
    </w:p>
    <w:p w14:paraId="238684D6">
      <w:pPr>
        <w:pStyle w:val="47"/>
      </w:pPr>
      <w:r>
        <w:tab/>
      </w:r>
      <w:r>
        <w:rPr>
          <w:rFonts w:eastAsia="宋体"/>
        </w:rPr>
        <w:object>
          <v:shape id="_x0000_i1026" o:spt="75" type="#_x0000_t75" style="height:35.5pt;width:7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05F41876">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is a sampling point.</w:t>
      </w:r>
    </w:p>
    <w:p w14:paraId="7A142303">
      <w:pPr>
        <w:pStyle w:val="2"/>
      </w:pPr>
      <w:bookmarkStart w:id="149" w:name="_Toc106207098"/>
      <w:bookmarkStart w:id="150" w:name="_Toc58916124"/>
      <w:bookmarkStart w:id="151" w:name="_Toc29810970"/>
      <w:bookmarkStart w:id="152" w:name="_Toc187258439"/>
      <w:bookmarkStart w:id="153" w:name="_Toc74916200"/>
      <w:bookmarkStart w:id="154" w:name="_Toc45886367"/>
      <w:bookmarkStart w:id="155" w:name="_Toc36636331"/>
      <w:bookmarkStart w:id="156" w:name="_Toc76544711"/>
      <w:bookmarkStart w:id="157" w:name="_Toc37273277"/>
      <w:bookmarkStart w:id="158" w:name="_Toc137396875"/>
      <w:bookmarkStart w:id="159" w:name="_Toc53183412"/>
      <w:bookmarkStart w:id="160" w:name="_Toc21103121"/>
      <w:bookmarkStart w:id="161" w:name="_Toc115081100"/>
      <w:bookmarkStart w:id="162" w:name="_Toc66694175"/>
      <w:bookmarkStart w:id="163" w:name="_Toc82536833"/>
      <w:bookmarkStart w:id="164" w:name="_Toc99703306"/>
      <w:bookmarkStart w:id="165" w:name="_Toc156578318"/>
      <w:bookmarkStart w:id="166" w:name="_Toc98766943"/>
      <w:bookmarkStart w:id="167" w:name="_Toc58918305"/>
      <w:bookmarkStart w:id="168" w:name="_Toc89953126"/>
      <w:bookmarkStart w:id="169" w:name="_Toc176949632"/>
      <w:bookmarkStart w:id="170" w:name="_Toc76114825"/>
      <w:bookmarkStart w:id="171" w:name="_Toc122000051"/>
      <w:bookmarkStart w:id="172" w:name="_Toc124154950"/>
      <w:r>
        <w:t>I.4</w:t>
      </w:r>
      <w:r>
        <w:tab/>
      </w:r>
      <w:r>
        <w:t>Spherical Fibonacci grid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1902C2A">
      <w:r>
        <w:t>TRP</w:t>
      </w:r>
      <w:r>
        <w:rPr>
          <w:vertAlign w:val="subscript"/>
        </w:rPr>
        <w:t>Estimate</w:t>
      </w:r>
      <w:r>
        <w:t xml:space="preserve"> is defined as</w:t>
      </w:r>
    </w:p>
    <w:p w14:paraId="42FB2DAF">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5D78DA1C">
      <w:r>
        <w:rPr>
          <w:i/>
        </w:rPr>
        <w:t>N</w:t>
      </w:r>
      <w:r>
        <w:t xml:space="preserve"> is the total number of samples and specified as</w:t>
      </w:r>
    </w:p>
    <w:p w14:paraId="00543E77">
      <w:pPr>
        <w:pStyle w:val="47"/>
      </w:pPr>
      <w:r>
        <w:tab/>
      </w:r>
      <w:r>
        <w:rPr>
          <w:rFonts w:eastAsia="宋体"/>
        </w:rPr>
        <w:object>
          <v:shape id="_x0000_i1027" o:spt="75" type="#_x0000_t75" style="height:35.5pt;width:7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p>
    <w:p w14:paraId="1DBA0E58">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xml:space="preserve">) is a sampling point, where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in degrees, are defined as:</w:t>
      </w:r>
    </w:p>
    <w:p w14:paraId="12679EF2">
      <m:oMathPara>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ctrlPr>
                    <w:rPr>
                      <w:rFonts w:ascii="Cambria Math" w:hAnsi="Cambria Math"/>
                    </w:rPr>
                  </m:ctrlPr>
                </m:e>
                <m:sup>
                  <m:r>
                    <m:rPr>
                      <m:sty m:val="p"/>
                    </m:rPr>
                    <w:rPr>
                      <w:rFonts w:ascii="Cambria Math" w:hAnsi="Cambria Math"/>
                    </w:rPr>
                    <m:t>−1</m:t>
                  </m:r>
                  <m:ctrlPr>
                    <w:rPr>
                      <w:rFonts w:ascii="Cambria Math" w:hAnsi="Cambria Math"/>
                    </w:rPr>
                  </m:ctrlPr>
                </m:sup>
              </m:sSup>
              <m:ctrlPr>
                <w:rPr>
                  <w:rFonts w:ascii="Cambria Math" w:hAnsi="Cambria Math"/>
                </w:rPr>
              </m:ctrlPr>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ctrlPr>
                <w:rPr>
                  <w:rFonts w:ascii="Cambria Math" w:hAnsi="Cambria Math"/>
                </w:rPr>
              </m:ctrlPr>
            </m:e>
          </m:func>
        </m:oMath>
      </m:oMathPara>
    </w:p>
    <w:p w14:paraId="48EF6164">
      <m:oMathPara>
        <m:oMath>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ctrlPr>
                    <w:rPr>
                      <w:rFonts w:ascii="Cambria Math" w:hAnsi="Cambria Math"/>
                    </w:rPr>
                  </m:ctrlPr>
                </m:e>
                <m:sup>
                  <m:r>
                    <m:rPr>
                      <m:sty m:val="p"/>
                    </m:rPr>
                    <w:rPr>
                      <w:rFonts w:ascii="Cambria Math" w:hAnsi="Cambria Math"/>
                    </w:rPr>
                    <m:t>°</m:t>
                  </m:r>
                  <m:ctrlPr>
                    <w:rPr>
                      <w:rFonts w:ascii="Cambria Math" w:hAnsi="Cambria Math"/>
                    </w:rPr>
                  </m:ctrlPr>
                </m:sup>
              </m:sSup>
              <m:r>
                <m:rPr/>
                <w:rPr>
                  <w:rFonts w:ascii="Cambria Math" w:hAnsi="Cambria Math"/>
                </w:rPr>
                <m:t>n</m:t>
              </m:r>
              <m:ctrlPr>
                <w:rPr>
                  <w:rFonts w:ascii="Cambria Math" w:hAnsi="Cambria Math"/>
                </w:rPr>
              </m:ctrlPr>
            </m:num>
            <m:den>
              <m:r>
                <m:rPr>
                  <m:sty m:val="p"/>
                </m:rPr>
                <w:rPr>
                  <w:rFonts w:ascii="Cambria Math" w:hAnsi="Cambria Math"/>
                </w:rPr>
                <m:t>Ψ</m:t>
              </m:r>
              <m:ctrlPr>
                <w:rPr>
                  <w:rFonts w:ascii="Cambria Math" w:hAnsi="Cambria Math"/>
                </w:rPr>
              </m:ctrlP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m:oMathPara>
    </w:p>
    <w:p w14:paraId="227180AA">
      <w:pPr>
        <w:pStyle w:val="2"/>
      </w:pPr>
      <w:bookmarkStart w:id="173" w:name="_Toc58916125"/>
      <w:bookmarkStart w:id="174" w:name="_Toc29810971"/>
      <w:bookmarkStart w:id="175" w:name="_Toc187258440"/>
      <w:bookmarkStart w:id="176" w:name="_Toc137396876"/>
      <w:bookmarkStart w:id="177" w:name="_Toc45886368"/>
      <w:bookmarkStart w:id="178" w:name="_Toc58918306"/>
      <w:bookmarkStart w:id="179" w:name="_Toc176949633"/>
      <w:bookmarkStart w:id="180" w:name="_Toc122000052"/>
      <w:bookmarkStart w:id="181" w:name="_Toc53183413"/>
      <w:bookmarkStart w:id="182" w:name="_Toc21103122"/>
      <w:bookmarkStart w:id="183" w:name="_Toc36636332"/>
      <w:bookmarkStart w:id="184" w:name="_Toc124154951"/>
      <w:bookmarkStart w:id="185" w:name="_Toc76114826"/>
      <w:bookmarkStart w:id="186" w:name="_Toc89953127"/>
      <w:bookmarkStart w:id="187" w:name="_Toc98766944"/>
      <w:bookmarkStart w:id="188" w:name="_Toc37273278"/>
      <w:bookmarkStart w:id="189" w:name="_Toc106207099"/>
      <w:bookmarkStart w:id="190" w:name="_Toc156578319"/>
      <w:bookmarkStart w:id="191" w:name="_Toc82536834"/>
      <w:bookmarkStart w:id="192" w:name="_Toc66694176"/>
      <w:bookmarkStart w:id="193" w:name="_Toc76544712"/>
      <w:bookmarkStart w:id="194" w:name="_Toc74916201"/>
      <w:bookmarkStart w:id="195" w:name="_Toc115081101"/>
      <w:bookmarkStart w:id="196" w:name="_Toc99703307"/>
      <w:r>
        <w:t>I.5</w:t>
      </w:r>
      <w:r>
        <w:tab/>
      </w:r>
      <w:r>
        <w:t>Orthogonal cut grid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761AEA7">
      <w:pPr>
        <w:pStyle w:val="3"/>
      </w:pPr>
      <w:bookmarkStart w:id="197" w:name="_Toc29810972"/>
      <w:bookmarkStart w:id="198" w:name="_Toc58916126"/>
      <w:bookmarkStart w:id="199" w:name="_Toc98766945"/>
      <w:bookmarkStart w:id="200" w:name="_Toc37273279"/>
      <w:bookmarkStart w:id="201" w:name="_Toc36636333"/>
      <w:bookmarkStart w:id="202" w:name="_Toc99703308"/>
      <w:bookmarkStart w:id="203" w:name="_Toc58918307"/>
      <w:bookmarkStart w:id="204" w:name="_Toc187258441"/>
      <w:bookmarkStart w:id="205" w:name="_Toc115081102"/>
      <w:bookmarkStart w:id="206" w:name="_Toc53183414"/>
      <w:bookmarkStart w:id="207" w:name="_Toc76114827"/>
      <w:bookmarkStart w:id="208" w:name="_Toc76544713"/>
      <w:bookmarkStart w:id="209" w:name="_Toc106207100"/>
      <w:bookmarkStart w:id="210" w:name="_Toc45886369"/>
      <w:bookmarkStart w:id="211" w:name="_Toc137396877"/>
      <w:bookmarkStart w:id="212" w:name="_Toc124154952"/>
      <w:bookmarkStart w:id="213" w:name="_Toc89953128"/>
      <w:bookmarkStart w:id="214" w:name="_Toc122000053"/>
      <w:bookmarkStart w:id="215" w:name="_Toc176949634"/>
      <w:bookmarkStart w:id="216" w:name="_Toc82536835"/>
      <w:bookmarkStart w:id="217" w:name="_Toc21103123"/>
      <w:bookmarkStart w:id="218" w:name="_Toc66694177"/>
      <w:bookmarkStart w:id="219" w:name="_Toc156578320"/>
      <w:bookmarkStart w:id="220" w:name="_Toc74916202"/>
      <w:r>
        <w:t>I.5.1</w:t>
      </w:r>
      <w:r>
        <w:tab/>
      </w:r>
      <w:r>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9764602">
      <w:r>
        <w:t>Here, at least two cuts (default) shall be used, an optional third cut can be used. The alignment of the cuts must be along the symmetry planes of the antenna array. No alignment is required for spurious emissions.</w:t>
      </w:r>
    </w:p>
    <w:p w14:paraId="4968B8FB">
      <w:r>
        <w:t>When alignment is required:</w:t>
      </w:r>
    </w:p>
    <w:p w14:paraId="518D5192">
      <w:pPr>
        <w:pStyle w:val="54"/>
      </w:pPr>
      <w:r>
        <w:t>1)</w:t>
      </w:r>
      <w:r>
        <w:tab/>
      </w:r>
      <w:r>
        <w:t>The first mandatory cut is a horizontal cut passing through the peak direction of the main beam.</w:t>
      </w:r>
    </w:p>
    <w:p w14:paraId="357F2675">
      <w:pPr>
        <w:pStyle w:val="54"/>
      </w:pPr>
      <w:r>
        <w:t>2)</w:t>
      </w:r>
      <w:r>
        <w:tab/>
      </w:r>
      <w:r>
        <w:t>The second mandatory is a vertical cut passing through the peak direction of the main beam. Using the data from these two mandatory cuts, a conditional pattern multiplication can be used.</w:t>
      </w:r>
    </w:p>
    <w:p w14:paraId="69F316DD">
      <w:pPr>
        <w:pStyle w:val="54"/>
      </w:pPr>
      <w:r>
        <w:t>3)</w:t>
      </w:r>
      <w:r>
        <w:tab/>
      </w:r>
      <w:r>
        <w:t>The third optional cut is a vertical cut orthogonal to the first and the second cut.</w:t>
      </w:r>
    </w:p>
    <w:p w14:paraId="2DC11D9D">
      <w:r>
        <w:t>When alignment is not required, the cuts can be aligned arbitrarily.</w:t>
      </w:r>
    </w:p>
    <w:p w14:paraId="6499D724">
      <w:r>
        <w:t>Once the number and the orientation of the cuts are decided, the total EIRP is measured on the orthogonal cuts and the TRP is then calculated as follows: First the contributions from each cut is calculated as</w:t>
      </w:r>
    </w:p>
    <w:p w14:paraId="7CDF6860">
      <w:pPr>
        <w:pStyle w:val="47"/>
      </w:pPr>
      <w:r>
        <w:tab/>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P</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P</m:t>
            </m:r>
            <m:ctrlPr>
              <w:rPr>
                <w:rFonts w:ascii="Cambria Math" w:hAnsi="Cambria Math"/>
              </w:rPr>
            </m:ctrlPr>
          </m:sup>
          <m:e>
            <m:r>
              <m:rPr/>
              <w:rPr>
                <w:rFonts w:ascii="Cambria Math" w:hAnsi="Cambria Math"/>
              </w:rPr>
              <m:t>EIRP</m:t>
            </m:r>
            <m:r>
              <m:rPr>
                <m:sty m:val="p"/>
              </m:rPr>
              <w:rPr>
                <w:rFonts w:ascii="Cambria Math" w:hAnsi="Cambria Math"/>
              </w:rPr>
              <m:t>(</m:t>
            </m:r>
            <m:r>
              <m:rPr/>
              <w:rPr>
                <w:rFonts w:ascii="Cambria Math" w:hAnsi="Cambria Math"/>
              </w:rPr>
              <m:t>j</m:t>
            </m:r>
            <m:r>
              <m:rPr>
                <m:sty m:val="p"/>
              </m:rPr>
              <w:rPr>
                <w:rFonts w:ascii="Cambria Math" w:hAnsi="Cambria Math"/>
              </w:rPr>
              <m:t>)</m:t>
            </m:r>
            <m:ctrlPr>
              <w:rPr>
                <w:rFonts w:ascii="Cambria Math" w:hAnsi="Cambria Math"/>
              </w:rPr>
            </m:ctrlPr>
          </m:e>
        </m:nary>
      </m:oMath>
    </w:p>
    <w:p w14:paraId="611A7A12">
      <w:r>
        <w:t xml:space="preserve">where </w:t>
      </w:r>
      <w:r>
        <w:rPr>
          <w:i/>
          <w:iCs/>
        </w:rPr>
        <w:t>P</w:t>
      </w:r>
      <w:r>
        <w:t xml:space="preserve"> is the number of sampling points in the cut. The final contribution for all cuts is calculated as</w:t>
      </w:r>
    </w:p>
    <w:p w14:paraId="4FC9DC34">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nary>
      </m:oMath>
    </w:p>
    <w:p w14:paraId="2C34D803">
      <w:r>
        <w:rPr>
          <w:bCs/>
        </w:rPr>
        <w:t xml:space="preserve">where </w:t>
      </w:r>
      <w:r>
        <w:rPr>
          <w:bCs/>
          <w:i/>
          <w:iCs/>
        </w:rPr>
        <w:t>N</w:t>
      </w:r>
      <w:r>
        <w:rPr>
          <w:bCs/>
        </w:rPr>
        <w:t xml:space="preserve"> is the number of cuts</w:t>
      </w:r>
      <w:r>
        <w:t>. Note that when orthogonal cuts are measured, the interclause points are measured multiple times and the repeated values can be removed from the samples before averaging.</w:t>
      </w:r>
    </w:p>
    <w:p w14:paraId="024FC42F">
      <w:r>
        <w:t>When two cuts measurements are used, a conditional pattern multiplication can be applied. The following are the conditions for applying pattern multiplication:</w:t>
      </w:r>
    </w:p>
    <w:p w14:paraId="4925F16D">
      <w:pPr>
        <w:pStyle w:val="54"/>
      </w:pPr>
      <w:r>
        <w:t>i.</w:t>
      </w:r>
      <w:r>
        <w:tab/>
      </w:r>
      <w:r>
        <w:t xml:space="preserve">The vertical cut (and the main beam) is in the </w:t>
      </w:r>
      <m:oMath>
        <m:r>
          <m:rPr/>
          <w:rPr>
            <w:rFonts w:ascii="Cambria Math" w:hAnsi="Cambria Math"/>
          </w:rPr>
          <m:t>xz</m:t>
        </m:r>
      </m:oMath>
      <w:r>
        <w:t xml:space="preserve"> -plane</w:t>
      </w:r>
    </w:p>
    <w:p w14:paraId="4FABBED6">
      <w:pPr>
        <w:pStyle w:val="54"/>
      </w:pPr>
      <w:r>
        <w:t>ii.</w:t>
      </w:r>
      <w:r>
        <w:tab/>
      </w:r>
      <w:r>
        <w:t>The frequency of the emission is within the downlink operating band.</w:t>
      </w:r>
    </w:p>
    <w:p w14:paraId="0AC4F93A">
      <w:pPr>
        <w:pStyle w:val="54"/>
      </w:pPr>
      <w:r>
        <w:t>iii.</w:t>
      </w:r>
      <w:r>
        <w:tab/>
      </w:r>
      <w:r>
        <w:t>The bandwidth of the emission is the same as the bandwidth of the in-band modulated signal</w:t>
      </w:r>
    </w:p>
    <w:p w14:paraId="4199E59C">
      <w:pPr>
        <w:pStyle w:val="54"/>
      </w:pPr>
      <w:r>
        <w:t>iv.</w:t>
      </w:r>
      <w:r>
        <w:tab/>
      </w:r>
      <w:r>
        <w:t>The emission appears/disappears when the Tx power is turned on/off.</w:t>
      </w:r>
    </w:p>
    <w:p w14:paraId="480A6CB6">
      <w:pPr>
        <w:pStyle w:val="54"/>
      </w:pPr>
      <w:r>
        <w:t>v.</w:t>
      </w:r>
      <w:r>
        <w:tab/>
      </w:r>
      <w:r>
        <w:t>The antenna arrays of the EUT</w:t>
      </w:r>
    </w:p>
    <w:p w14:paraId="52F95031">
      <w:pPr>
        <w:pStyle w:val="114"/>
      </w:pPr>
      <w:r>
        <w:t>1)</w:t>
      </w:r>
      <w:r>
        <w:tab/>
      </w:r>
      <w:r>
        <w:t>Have rectangular grids of antenna element positions</w:t>
      </w:r>
    </w:p>
    <w:p w14:paraId="41864BFB">
      <w:pPr>
        <w:pStyle w:val="114"/>
      </w:pPr>
      <w:r>
        <w:t>2)</w:t>
      </w:r>
      <w:r>
        <w:tab/>
      </w:r>
      <w:r>
        <w:t>Have symmetry planes that are vertical and horizontal.</w:t>
      </w:r>
    </w:p>
    <w:p w14:paraId="581DB067">
      <w:pPr>
        <w:pStyle w:val="114"/>
      </w:pPr>
      <w:r>
        <w:t>3)</w:t>
      </w:r>
      <w:r>
        <w:tab/>
      </w:r>
      <w:r>
        <w:t>Have parallel antenna planes</w:t>
      </w:r>
    </w:p>
    <w:p w14:paraId="06053F8E">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cut1</m:t>
            </m:r>
            <m:ctrlPr>
              <w:rPr>
                <w:rFonts w:ascii="Cambria Math" w:hAnsi="Cambria Math"/>
                <w:sz w:val="22"/>
                <w:szCs w:val="22"/>
                <w:lang w:val="en-CA"/>
              </w:rPr>
            </m:ctrlPr>
          </m:sub>
          <m:sup>
            <m:ctrlPr>
              <w:rPr>
                <w:rFonts w:ascii="Cambria Math" w:hAnsi="Cambria Math"/>
                <w:i/>
                <w:sz w:val="22"/>
                <w:szCs w:val="22"/>
                <w:lang w:val="en-CA"/>
              </w:rPr>
            </m:ctrlPr>
          </m:sup>
        </m:sSubSup>
        <m:d>
          <m:dPr>
            <m:ctrlPr>
              <w:rPr>
                <w:rFonts w:ascii="Cambria Math" w:hAnsi="Cambria Math"/>
                <w:sz w:val="22"/>
                <w:szCs w:val="22"/>
                <w:lang w:val="en-CA"/>
              </w:rPr>
            </m:ctrlPr>
          </m:dPr>
          <m:e>
            <m:r>
              <m:rPr/>
              <w:rPr>
                <w:rFonts w:ascii="Cambria Math" w:hAnsi="Cambria Math"/>
              </w:rPr>
              <m:t>ϕ</m:t>
            </m:r>
            <m:ctrlPr>
              <w:rPr>
                <w:rFonts w:ascii="Cambria Math" w:hAnsi="Cambria Math"/>
                <w:sz w:val="22"/>
                <w:szCs w:val="22"/>
                <w:lang w:val="en-CA"/>
              </w:rPr>
            </m:ctrlPr>
          </m:e>
        </m:d>
      </m:oMath>
      <w:r>
        <w:t xml:space="preserve"> at </w:t>
      </w:r>
      <m:oMath>
        <m:r>
          <m:rPr/>
          <w:rPr>
            <w:rFonts w:ascii="Cambria Math" w:hAnsi="Cambria Math"/>
          </w:rPr>
          <m:t>θ=</m:t>
        </m:r>
        <m:sSub>
          <m:sSubPr>
            <m:ctrlPr>
              <w:rPr>
                <w:rFonts w:ascii="Cambria Math" w:hAnsi="Cambria Math"/>
                <w:sz w:val="22"/>
                <w:szCs w:val="22"/>
                <w:lang w:val="en-CA"/>
              </w:rPr>
            </m:ctrlPr>
          </m:sSubPr>
          <m:e>
            <m:r>
              <m:rPr/>
              <w:rPr>
                <w:rFonts w:ascii="Cambria Math" w:hAnsi="Cambria Math"/>
              </w:rPr>
              <m:t>θ</m:t>
            </m:r>
            <m:ctrlPr>
              <w:rPr>
                <w:rFonts w:ascii="Cambria Math" w:hAnsi="Cambria Math"/>
                <w:sz w:val="22"/>
                <w:szCs w:val="22"/>
                <w:lang w:val="en-CA"/>
              </w:rPr>
            </m:ctrlPr>
          </m:e>
          <m:sub>
            <m:r>
              <m:rPr/>
              <w:rPr>
                <w:rFonts w:ascii="Cambria Math" w:hAnsi="Cambria Math"/>
              </w:rPr>
              <m:t>H</m:t>
            </m:r>
            <m:ctrlPr>
              <w:rPr>
                <w:rFonts w:ascii="Cambria Math" w:hAnsi="Cambria Math"/>
                <w:sz w:val="22"/>
                <w:szCs w:val="22"/>
                <w:lang w:val="en-CA"/>
              </w:rPr>
            </m:ctrlP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cut2</m:t>
            </m:r>
            <m:ctrlPr>
              <w:rPr>
                <w:rFonts w:ascii="Cambria Math" w:hAnsi="Cambria Math"/>
                <w:sz w:val="22"/>
                <w:szCs w:val="22"/>
                <w:lang w:val="en-CA"/>
              </w:rPr>
            </m:ctrlPr>
          </m:sub>
          <m:sup>
            <m:ctrlPr>
              <w:rPr>
                <w:rFonts w:ascii="Cambria Math" w:hAnsi="Cambria Math"/>
                <w:sz w:val="22"/>
                <w:szCs w:val="22"/>
                <w:lang w:val="en-CA"/>
              </w:rPr>
            </m:ctrlPr>
          </m:sup>
        </m:sSubSup>
        <m:d>
          <m:dPr>
            <m:ctrlPr>
              <w:rPr>
                <w:rFonts w:ascii="Cambria Math" w:hAnsi="Cambria Math"/>
                <w:sz w:val="22"/>
                <w:szCs w:val="22"/>
                <w:lang w:val="en-CA"/>
              </w:rPr>
            </m:ctrlPr>
          </m:dPr>
          <m:e>
            <m:r>
              <m:rPr/>
              <w:rPr>
                <w:rFonts w:ascii="Cambria Math" w:hAnsi="Cambria Math"/>
              </w:rPr>
              <m:t>θ</m:t>
            </m:r>
            <m:ctrlPr>
              <w:rPr>
                <w:rFonts w:ascii="Cambria Math" w:hAnsi="Cambria Math"/>
                <w:sz w:val="22"/>
                <w:szCs w:val="22"/>
                <w:lang w:val="en-CA"/>
              </w:rPr>
            </m:ctrlPr>
          </m:e>
        </m:d>
      </m:oMath>
      <w:r>
        <w:t xml:space="preserve"> at </w:t>
      </w:r>
      <m:oMath>
        <m:r>
          <m:rP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I.2.2-1 the </w:t>
      </w:r>
      <w:r>
        <w:rPr>
          <w:i/>
          <w:iCs/>
        </w:rPr>
        <w:t>u</w:t>
      </w:r>
      <w:r>
        <w:t xml:space="preserve"> and </w:t>
      </w:r>
      <w:r>
        <w:rPr>
          <w:i/>
          <w:iCs/>
        </w:rPr>
        <w:t>v</w:t>
      </w:r>
      <w:r>
        <w:t xml:space="preserve"> coordinates are defined as:</w:t>
      </w:r>
    </w:p>
    <w:p w14:paraId="42A47F02">
      <w:pPr>
        <w:pStyle w:val="47"/>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m:rP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θ</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ϕ</m:t>
                          </m:r>
                          <m:ctrlPr>
                            <w:rPr>
                              <w:rFonts w:ascii="Cambria Math" w:hAnsi="Cambria Math"/>
                            </w:rPr>
                          </m:ctrlPr>
                        </m:e>
                      </m:func>
                      <m:ctrlPr>
                        <w:rPr>
                          <w:rFonts w:ascii="Cambria Math" w:hAnsi="Cambria Math"/>
                        </w:rPr>
                      </m:ctrlPr>
                    </m:e>
                  </m:func>
                  <m:ctrlPr>
                    <w:rPr>
                      <w:rFonts w:ascii="Cambria Math" w:hAnsi="Cambria Math"/>
                    </w:rPr>
                  </m:ctrlPr>
                </m:e>
              </m:mr>
              <m:mr>
                <m:e>
                  <m:r>
                    <m:rP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θ</m:t>
                      </m:r>
                      <m:ctrlPr>
                        <w:rPr>
                          <w:rFonts w:ascii="Cambria Math" w:hAnsi="Cambria Math"/>
                        </w:rPr>
                      </m:ctrlPr>
                    </m:e>
                  </m:func>
                  <m:ctrlPr>
                    <w:rPr>
                      <w:rFonts w:ascii="Cambria Math" w:hAnsi="Cambria Math"/>
                    </w:rPr>
                  </m:ctrlPr>
                </m:e>
              </m:mr>
            </m:m>
            <m:ctrlPr>
              <w:rPr>
                <w:rFonts w:ascii="Cambria Math" w:hAnsi="Cambria Math"/>
              </w:rPr>
            </m:ctrlPr>
          </m:e>
        </m:d>
      </m:oMath>
    </w:p>
    <w:p w14:paraId="311C9CBD">
      <w:r>
        <w:t>Note that only the data on the cuts are measured.</w:t>
      </w:r>
    </w:p>
    <w:p w14:paraId="31B5DA4C">
      <w:r>
        <w:t>Calculate power density/EIRP values outside the two cardinal cuts as</w:t>
      </w:r>
    </w:p>
    <w:p w14:paraId="28847512">
      <w:pPr>
        <w:pStyle w:val="47"/>
        <w:rPr>
          <w:rFonts w:ascii="Calibri" w:hAnsi="Calibri" w:eastAsia="MS Mincho"/>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u,v</m:t>
            </m:r>
            <m:ctrlPr>
              <w:rPr>
                <w:rFonts w:ascii="Cambria Math" w:hAnsi="Cambria Math"/>
                <w:i/>
                <w:lang w:val="en-US"/>
              </w:rPr>
            </m:ctrlPr>
          </m:e>
        </m:d>
        <m:r>
          <m:rPr/>
          <w:rPr>
            <w:rFonts w:ascii="Cambria Math" w:hAnsi="Cambria Math"/>
            <w:lang w:val="en-US"/>
          </w:rPr>
          <m:t>=</m:t>
        </m:r>
        <m:f>
          <m:fPr>
            <m:ctrlPr>
              <w:rPr>
                <w:rFonts w:ascii="Cambria Math" w:hAnsi="Cambria Math" w:eastAsia="Calibri"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cut1</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u</m:t>
                </m:r>
                <m:ctrlPr>
                  <w:rPr>
                    <w:rFonts w:ascii="Cambria Math" w:hAnsi="Cambria Math"/>
                    <w:i/>
                    <w:lang w:val="en-US"/>
                  </w:rPr>
                </m:ctrlP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cut2</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v</m:t>
                </m:r>
                <m:ctrlPr>
                  <w:rPr>
                    <w:rFonts w:ascii="Cambria Math" w:hAnsi="Cambria Math"/>
                    <w:i/>
                    <w:lang w:val="en-US"/>
                  </w:rPr>
                </m:ctrlPr>
              </m:e>
            </m:d>
            <m:ctrlPr>
              <w:rPr>
                <w:rFonts w:ascii="Cambria Math" w:hAnsi="Cambria Math" w:eastAsia="Calibri" w:cs="Arial"/>
                <w:i/>
                <w:lang w:val="en-US"/>
              </w:rPr>
            </m:ctrlPr>
          </m:num>
          <m:den>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H</m:t>
                    </m:r>
                    <m:ctrlPr>
                      <w:rPr>
                        <w:rFonts w:ascii="Cambria Math" w:hAnsi="Cambria Math"/>
                        <w:i/>
                        <w:lang w:val="en-US"/>
                      </w:rPr>
                    </m:ctrlPr>
                  </m:sub>
                </m:sSub>
                <m:ctrlPr>
                  <w:rPr>
                    <w:rFonts w:ascii="Cambria Math" w:hAnsi="Cambria Math"/>
                    <w:i/>
                    <w:lang w:val="en-US"/>
                  </w:rPr>
                </m:ctrlPr>
              </m:e>
            </m:d>
            <m:ctrlPr>
              <w:rPr>
                <w:rFonts w:ascii="Cambria Math" w:hAnsi="Cambria Math" w:eastAsia="Calibri" w:cs="Arial"/>
                <w:i/>
                <w:lang w:val="en-US"/>
              </w:rPr>
            </m:ctrlPr>
          </m:den>
        </m:f>
      </m:oMath>
    </w:p>
    <w:p w14:paraId="396B8B22">
      <w:r>
        <w:t>The pattern multiplication is applied separately for the forward (fwd) and backward (bwd) hemisphere. The TRP is then calculated as</w:t>
      </w:r>
    </w:p>
    <w:p w14:paraId="6DC5674C">
      <w:pPr>
        <w:pStyle w:val="47"/>
        <w:rPr>
          <w:lang w:val="en-US"/>
        </w:rPr>
      </w:pPr>
      <w:r>
        <w:rPr>
          <w:lang w:val="en-US"/>
        </w:rPr>
        <w:tab/>
      </w:r>
      <m:oMath>
        <m:r>
          <m:rPr>
            <m:sty m:val="p"/>
          </m:rPr>
          <w:rPr>
            <w:rFonts w:ascii="Cambria Math" w:hAnsi="Cambria Math"/>
            <w:lang w:val="en-US"/>
          </w:rPr>
          <m:t>TRP=</m:t>
        </m:r>
        <m:f>
          <m:fPr>
            <m:ctrlPr>
              <w:rPr>
                <w:rFonts w:ascii="Cambria Math" w:hAnsi="Cambria Math" w:eastAsia="Calibri" w:cs="Arial"/>
                <w:lang w:val="en-US"/>
              </w:rPr>
            </m:ctrlPr>
          </m:fPr>
          <m:num>
            <m:r>
              <m:rPr>
                <m:sty m:val="p"/>
              </m:rPr>
              <w:rPr>
                <w:rFonts w:ascii="Cambria Math" w:hAnsi="Cambria Math"/>
                <w:lang w:val="en-US"/>
              </w:rPr>
              <m:t>1</m:t>
            </m:r>
            <m:ctrlPr>
              <w:rPr>
                <w:rFonts w:ascii="Cambria Math" w:hAnsi="Cambria Math" w:eastAsia="Calibri" w:cs="Arial"/>
                <w:lang w:val="en-US"/>
              </w:rPr>
            </m:ctrlPr>
          </m:num>
          <m:den>
            <m:r>
              <m:rPr>
                <m:sty m:val="p"/>
              </m:rPr>
              <w:rPr>
                <w:rFonts w:ascii="Cambria Math" w:hAnsi="Cambria Math"/>
                <w:lang w:val="en-US"/>
              </w:rPr>
              <m:t>4</m:t>
            </m:r>
            <m:r>
              <m:rPr/>
              <w:rPr>
                <w:rFonts w:ascii="Cambria Math" w:hAnsi="Cambria Math"/>
                <w:lang w:val="en-US"/>
              </w:rPr>
              <m:t>π</m:t>
            </m:r>
            <m:ctrlPr>
              <w:rPr>
                <w:rFonts w:ascii="Cambria Math" w:hAnsi="Cambria Math" w:eastAsia="Calibri" w:cs="Arial"/>
                <w:lang w:val="en-US"/>
              </w:rPr>
            </m:ctrlPr>
          </m:den>
        </m:f>
        <m:d>
          <m:dPr>
            <m:begChr m:val="["/>
            <m:endChr m:val="]"/>
            <m:ctrlPr>
              <w:rPr>
                <w:rFonts w:ascii="Cambria Math" w:hAnsi="Cambria Math"/>
                <w:lang w:val="en-US"/>
              </w:rPr>
            </m:ctrlPr>
          </m:dPr>
          <m:e>
            <m:nary>
              <m:naryPr>
                <m:chr m:val="∬"/>
                <m:limLoc m:val="undOvr"/>
                <m:ctrlPr>
                  <w:rPr>
                    <w:rFonts w:ascii="Cambria Math" w:hAnsi="Cambria Math" w:eastAsia="Calibri" w:cs="Arial"/>
                    <w:lang w:val="en-US"/>
                  </w:rPr>
                </m:ctrlPr>
              </m:naryPr>
              <m:sub>
                <m:r>
                  <m:rPr>
                    <m:sty m:val="p"/>
                  </m:rPr>
                  <w:rPr>
                    <w:rFonts w:ascii="Cambria Math" w:hAnsi="Cambria Math"/>
                    <w:lang w:val="en-US"/>
                  </w:rPr>
                  <m:t>fwd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fwd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r>
                  <m:rPr>
                    <m:sty m:val="p"/>
                  </m:rPr>
                  <w:rPr>
                    <w:rFonts w:ascii="Cambria Math" w:hAnsi="Cambria Math"/>
                    <w:lang w:val="en-US"/>
                  </w:rPr>
                  <m:t>+</m:t>
                </m:r>
                <m:ctrlPr>
                  <w:rPr>
                    <w:rFonts w:ascii="Cambria Math" w:hAnsi="Cambria Math" w:eastAsia="Calibri" w:cs="Arial"/>
                    <w:lang w:val="en-US"/>
                  </w:rPr>
                </m:ctrlPr>
              </m:e>
            </m:nary>
            <m:nary>
              <m:naryPr>
                <m:chr m:val="∬"/>
                <m:limLoc m:val="undOvr"/>
                <m:ctrlPr>
                  <w:rPr>
                    <w:rFonts w:ascii="Cambria Math" w:hAnsi="Cambria Math" w:eastAsia="Calibri" w:cs="Arial"/>
                    <w:lang w:val="en-US"/>
                  </w:rPr>
                </m:ctrlPr>
              </m:naryPr>
              <m:sub>
                <m:r>
                  <m:rPr>
                    <m:sty m:val="p"/>
                  </m:rPr>
                  <w:rPr>
                    <w:rFonts w:ascii="Cambria Math" w:hAnsi="Cambria Math"/>
                    <w:lang w:val="en-US"/>
                  </w:rPr>
                  <m:t>bwd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bwd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ctrlPr>
                  <w:rPr>
                    <w:rFonts w:ascii="Cambria Math" w:hAnsi="Cambria Math" w:eastAsia="Calibri" w:cs="Arial"/>
                    <w:lang w:val="en-US"/>
                  </w:rPr>
                </m:ctrlPr>
              </m:e>
            </m:nary>
            <m:ctrlPr>
              <w:rPr>
                <w:rFonts w:ascii="Cambria Math" w:hAnsi="Cambria Math"/>
                <w:lang w:val="en-US"/>
              </w:rPr>
            </m:ctrlPr>
          </m:e>
        </m:d>
      </m:oMath>
    </w:p>
    <w:p w14:paraId="29F25FB4">
      <w:pPr>
        <w:pStyle w:val="45"/>
      </w:pPr>
      <w:r>
        <w:t>NOTE:</w:t>
      </w:r>
      <w:r>
        <w:tab/>
      </w:r>
      <w:r>
        <w:t xml:space="preserve">The numerical singularity at </w:t>
      </w:r>
      <m:oMath>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sSup>
          <m:sSupPr>
            <m:ctrlPr>
              <w:rPr>
                <w:rFonts w:ascii="Cambria Math" w:hAnsi="Cambria Math"/>
                <w:i/>
              </w:rPr>
            </m:ctrlPr>
          </m:sSupPr>
          <m:e>
            <m:r>
              <m:rPr/>
              <w:rPr>
                <w:rFonts w:ascii="Cambria Math" w:hAnsi="Cambria Math"/>
              </w:rPr>
              <m:t>v</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=1</m:t>
        </m:r>
      </m:oMath>
      <w:r>
        <w:t xml:space="preserve"> must be treated with care, e.g. by change of variables. </w:t>
      </w:r>
    </w:p>
    <w:p w14:paraId="56E81F6A">
      <w:pPr>
        <w:pStyle w:val="3"/>
        <w:rPr>
          <w:lang w:val="en-US"/>
        </w:rPr>
      </w:pPr>
      <w:bookmarkStart w:id="221" w:name="_Toc37273280"/>
      <w:bookmarkStart w:id="222" w:name="_Toc58916127"/>
      <w:bookmarkStart w:id="223" w:name="_Toc98766946"/>
      <w:bookmarkStart w:id="224" w:name="_Toc82536836"/>
      <w:bookmarkStart w:id="225" w:name="_Toc66694178"/>
      <w:bookmarkStart w:id="226" w:name="_Toc156578321"/>
      <w:bookmarkStart w:id="227" w:name="_Toc53183415"/>
      <w:bookmarkStart w:id="228" w:name="_Toc122000054"/>
      <w:bookmarkStart w:id="229" w:name="_Toc58918308"/>
      <w:bookmarkStart w:id="230" w:name="_Toc124154953"/>
      <w:bookmarkStart w:id="231" w:name="_Toc76544714"/>
      <w:bookmarkStart w:id="232" w:name="_Toc76114828"/>
      <w:bookmarkStart w:id="233" w:name="_Toc89953129"/>
      <w:bookmarkStart w:id="234" w:name="_Toc45886370"/>
      <w:bookmarkStart w:id="235" w:name="_Toc187258442"/>
      <w:bookmarkStart w:id="236" w:name="_Toc36636334"/>
      <w:bookmarkStart w:id="237" w:name="_Toc21103124"/>
      <w:bookmarkStart w:id="238" w:name="_Toc176949635"/>
      <w:bookmarkStart w:id="239" w:name="_Toc29810973"/>
      <w:bookmarkStart w:id="240" w:name="_Toc99703309"/>
      <w:bookmarkStart w:id="241" w:name="_Toc137396878"/>
      <w:bookmarkStart w:id="242" w:name="_Toc115081103"/>
      <w:bookmarkStart w:id="243" w:name="_Toc74916203"/>
      <w:bookmarkStart w:id="244" w:name="_Toc106207101"/>
      <w:r>
        <w:rPr>
          <w:lang w:val="en-US"/>
        </w:rPr>
        <w:t>I.5</w:t>
      </w:r>
      <w:r>
        <w:t>.2</w:t>
      </w:r>
      <w:r>
        <w:tab/>
      </w:r>
      <w:r>
        <w:rPr>
          <w:lang w:val="en-US"/>
        </w:rPr>
        <w:t>Operating band unwanted emissions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20A1142">
      <w:r>
        <w:t>The procedure is as follows:</w:t>
      </w:r>
    </w:p>
    <w:p w14:paraId="7744CC18">
      <w:pPr>
        <w:pStyle w:val="54"/>
      </w:pPr>
      <w:r>
        <w:t>1)</w:t>
      </w:r>
      <w:r>
        <w:tab/>
      </w:r>
      <w:r>
        <w:t>Follow steps described in annex I.5.1 for the first two mandatory cuts and calculate the TRP</w:t>
      </w:r>
      <w:r>
        <w:rPr>
          <w:vertAlign w:val="subscript"/>
        </w:rPr>
        <w:t>Estimate</w:t>
      </w:r>
      <w:r>
        <w:t>.</w:t>
      </w:r>
    </w:p>
    <w:p w14:paraId="25569AA0">
      <w:pPr>
        <w:pStyle w:val="54"/>
      </w:pPr>
      <w:r>
        <w:t>2)</w:t>
      </w:r>
      <w:r>
        <w:tab/>
      </w:r>
      <w:r>
        <w:t>Compare the TRP</w:t>
      </w:r>
      <w:r>
        <w:rPr>
          <w:vertAlign w:val="subscript"/>
        </w:rPr>
        <w:t>Estimate</w:t>
      </w:r>
      <w:r>
        <w:t xml:space="preserve"> to the limit.</w:t>
      </w:r>
    </w:p>
    <w:p w14:paraId="0676A0CE">
      <w:pPr>
        <w:pStyle w:val="54"/>
      </w:pPr>
      <w:r>
        <w:t>3)</w:t>
      </w:r>
      <w:r>
        <w:tab/>
      </w:r>
      <w:r>
        <w:t>If the TRP</w:t>
      </w:r>
      <w:r>
        <w:rPr>
          <w:vertAlign w:val="subscript"/>
        </w:rPr>
        <w:t>Estimate</w:t>
      </w:r>
      <w:r>
        <w:t xml:space="preserve"> is above the limit, perform the measurement on an additional third cut and repeat steps 1 to 2.</w:t>
      </w:r>
    </w:p>
    <w:p w14:paraId="1003A68D">
      <w:pPr>
        <w:pStyle w:val="3"/>
        <w:rPr>
          <w:lang w:val="en-US"/>
        </w:rPr>
      </w:pPr>
      <w:bookmarkStart w:id="245" w:name="_Toc106207102"/>
      <w:bookmarkStart w:id="246" w:name="_Toc37273281"/>
      <w:bookmarkStart w:id="247" w:name="_Toc76114829"/>
      <w:bookmarkStart w:id="248" w:name="_Toc36636335"/>
      <w:bookmarkStart w:id="249" w:name="_Toc82536837"/>
      <w:bookmarkStart w:id="250" w:name="_Toc137396879"/>
      <w:bookmarkStart w:id="251" w:name="_Toc122000055"/>
      <w:bookmarkStart w:id="252" w:name="_Toc58918309"/>
      <w:bookmarkStart w:id="253" w:name="_Toc53183416"/>
      <w:bookmarkStart w:id="254" w:name="_Toc66694179"/>
      <w:bookmarkStart w:id="255" w:name="_Toc74916204"/>
      <w:bookmarkStart w:id="256" w:name="_Toc29810974"/>
      <w:bookmarkStart w:id="257" w:name="_Toc45886371"/>
      <w:bookmarkStart w:id="258" w:name="_Toc98766947"/>
      <w:bookmarkStart w:id="259" w:name="_Toc21103125"/>
      <w:bookmarkStart w:id="260" w:name="_Toc89953130"/>
      <w:bookmarkStart w:id="261" w:name="_Toc99703310"/>
      <w:bookmarkStart w:id="262" w:name="_Toc76544715"/>
      <w:bookmarkStart w:id="263" w:name="_Toc115081104"/>
      <w:bookmarkStart w:id="264" w:name="_Toc176949636"/>
      <w:bookmarkStart w:id="265" w:name="_Toc156578322"/>
      <w:bookmarkStart w:id="266" w:name="_Toc124154954"/>
      <w:bookmarkStart w:id="267" w:name="_Toc58916128"/>
      <w:bookmarkStart w:id="268" w:name="_Toc187258443"/>
      <w:r>
        <w:rPr>
          <w:lang w:val="en-US"/>
        </w:rPr>
        <w:t>I.5.3</w:t>
      </w:r>
      <w:r>
        <w:tab/>
      </w:r>
      <w:r>
        <w:rPr>
          <w:lang w:val="en-US"/>
        </w:rPr>
        <w:t>Spurious unwanted emissions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7192D09">
      <w:r>
        <w:t>The procedure is as follows:</w:t>
      </w:r>
    </w:p>
    <w:p w14:paraId="1BE1ACDB">
      <w:pPr>
        <w:pStyle w:val="54"/>
      </w:pPr>
      <w:r>
        <w:t>1)</w:t>
      </w:r>
      <w:r>
        <w:tab/>
      </w:r>
      <w:r>
        <w:t>Follow steps described in annex I.5.1 for two cuts and calculate the preliminary TRP</w:t>
      </w:r>
      <w:r>
        <w:rPr>
          <w:vertAlign w:val="subscript"/>
        </w:rPr>
        <w:t>Estimate</w:t>
      </w:r>
      <w:r>
        <w:t>.</w:t>
      </w:r>
    </w:p>
    <w:p w14:paraId="3BB10754">
      <w:pPr>
        <w:pStyle w:val="54"/>
      </w:pPr>
      <w:r>
        <w:t>2)</w:t>
      </w:r>
      <w:r>
        <w:tab/>
      </w:r>
      <w:r>
        <w:t>Add the appropriate correction factor ΔTRP according to table I.5.3-1 to ensure overestimation with 95% confidence.</w:t>
      </w:r>
    </w:p>
    <w:p w14:paraId="1172FD15">
      <w:pPr>
        <w:pStyle w:val="54"/>
        <w:rPr>
          <w:lang w:val="en-US"/>
        </w:rPr>
      </w:pPr>
      <w:r>
        <w:t>3)</w:t>
      </w:r>
      <w:r>
        <w:tab/>
      </w:r>
      <w:r>
        <w:t>Compare the corrected TRP</w:t>
      </w:r>
      <w:r>
        <w:rPr>
          <w:vertAlign w:val="subscript"/>
        </w:rPr>
        <w:t>Estimate</w:t>
      </w:r>
      <w:r>
        <w:t xml:space="preserve"> (including ΔTRP) to the limit.</w:t>
      </w:r>
    </w:p>
    <w:p w14:paraId="0363C0C3">
      <w:pPr>
        <w:pStyle w:val="54"/>
        <w:rPr>
          <w:lang w:val="en-US"/>
        </w:rPr>
      </w:pPr>
      <w:r>
        <w:t>4)</w:t>
      </w:r>
      <w:r>
        <w:tab/>
      </w:r>
      <w:r>
        <w:t>If the corrected TRP</w:t>
      </w:r>
      <w:r>
        <w:rPr>
          <w:vertAlign w:val="subscript"/>
        </w:rPr>
        <w:t>Estimate</w:t>
      </w:r>
      <w:r>
        <w:t xml:space="preserve"> is above the limit, perform the measurement on an additional third cut and repeat steps 1 to 3.</w:t>
      </w:r>
    </w:p>
    <w:p w14:paraId="24E699CF">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14:paraId="756B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3DA7710B">
            <w:pPr>
              <w:pStyle w:val="39"/>
            </w:pPr>
          </w:p>
        </w:tc>
        <w:tc>
          <w:tcPr>
            <w:tcW w:w="1127" w:type="dxa"/>
            <w:tcBorders>
              <w:top w:val="single" w:color="auto" w:sz="4" w:space="0"/>
              <w:left w:val="single" w:color="auto" w:sz="4" w:space="0"/>
              <w:bottom w:val="single" w:color="auto" w:sz="4" w:space="0"/>
              <w:right w:val="single" w:color="auto" w:sz="4" w:space="0"/>
            </w:tcBorders>
          </w:tcPr>
          <w:p w14:paraId="5BA87A7A">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14:paraId="696F7F19">
            <w:pPr>
              <w:pStyle w:val="39"/>
            </w:pPr>
            <w:r>
              <w:t>Two cuts</w:t>
            </w:r>
          </w:p>
        </w:tc>
      </w:tr>
      <w:tr w14:paraId="684F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42D86A1A">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14:paraId="036B4615">
            <w:pPr>
              <w:pStyle w:val="40"/>
            </w:pPr>
            <w:r>
              <w:t>2.0</w:t>
            </w:r>
          </w:p>
        </w:tc>
        <w:tc>
          <w:tcPr>
            <w:tcW w:w="1252" w:type="dxa"/>
            <w:tcBorders>
              <w:top w:val="single" w:color="auto" w:sz="4" w:space="0"/>
              <w:left w:val="single" w:color="auto" w:sz="4" w:space="0"/>
              <w:bottom w:val="single" w:color="auto" w:sz="4" w:space="0"/>
              <w:right w:val="single" w:color="auto" w:sz="4" w:space="0"/>
            </w:tcBorders>
          </w:tcPr>
          <w:p w14:paraId="456C56EA">
            <w:pPr>
              <w:pStyle w:val="40"/>
            </w:pPr>
            <w:r>
              <w:t>2.5</w:t>
            </w:r>
          </w:p>
        </w:tc>
      </w:tr>
    </w:tbl>
    <w:p w14:paraId="40859701">
      <w:pPr>
        <w:pStyle w:val="45"/>
      </w:pPr>
    </w:p>
    <w:p w14:paraId="5FFED1E9">
      <w:pPr>
        <w:pStyle w:val="2"/>
      </w:pPr>
      <w:bookmarkStart w:id="269" w:name="_Toc58918310"/>
      <w:bookmarkStart w:id="270" w:name="_Toc76544716"/>
      <w:bookmarkStart w:id="271" w:name="_Toc21103126"/>
      <w:bookmarkStart w:id="272" w:name="_Toc36636336"/>
      <w:bookmarkStart w:id="273" w:name="_Toc106207103"/>
      <w:bookmarkStart w:id="274" w:name="_Toc76114830"/>
      <w:bookmarkStart w:id="275" w:name="_Toc89953131"/>
      <w:bookmarkStart w:id="276" w:name="_Toc99703311"/>
      <w:bookmarkStart w:id="277" w:name="_Toc176949637"/>
      <w:bookmarkStart w:id="278" w:name="_Toc98766948"/>
      <w:bookmarkStart w:id="279" w:name="_Toc37273282"/>
      <w:bookmarkStart w:id="280" w:name="_Toc137396880"/>
      <w:bookmarkStart w:id="281" w:name="_Toc74916205"/>
      <w:bookmarkStart w:id="282" w:name="_Toc29810975"/>
      <w:bookmarkStart w:id="283" w:name="_Toc66694180"/>
      <w:bookmarkStart w:id="284" w:name="_Toc156578323"/>
      <w:bookmarkStart w:id="285" w:name="_Toc122000056"/>
      <w:bookmarkStart w:id="286" w:name="_Toc124154955"/>
      <w:bookmarkStart w:id="287" w:name="_Toc58916129"/>
      <w:bookmarkStart w:id="288" w:name="_Toc187258444"/>
      <w:bookmarkStart w:id="289" w:name="_Toc82536838"/>
      <w:bookmarkStart w:id="290" w:name="_Toc45886372"/>
      <w:bookmarkStart w:id="291" w:name="_Toc115081105"/>
      <w:bookmarkStart w:id="292" w:name="_Toc53183417"/>
      <w:r>
        <w:t>I.6</w:t>
      </w:r>
      <w:r>
        <w:tab/>
      </w:r>
      <w:r>
        <w:t>Wave vector space grid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DC7BB99">
      <w:pPr>
        <w:rPr>
          <w:lang w:val="en-US"/>
        </w:rPr>
      </w:pPr>
      <w:r>
        <w:rPr>
          <w:rFonts w:hint="eastAsia"/>
          <w:lang w:val="en-US" w:eastAsia="zh-CN"/>
        </w:rPr>
        <w:t xml:space="preserve">If EUT is mounted along the yz plane as shown in </w:t>
      </w:r>
      <w:r>
        <w:rPr>
          <w:lang w:val="en-US" w:eastAsia="zh-CN"/>
        </w:rPr>
        <w:t>f</w:t>
      </w:r>
      <w:r>
        <w:rPr>
          <w:rFonts w:hint="eastAsia"/>
          <w:lang w:val="en-US" w:eastAsia="zh-CN"/>
        </w:rPr>
        <w:t>igure I.2.2-1, the reference step in wave vector space can be determined by</w:t>
      </w:r>
    </w:p>
    <w:p w14:paraId="0274C244">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oMath>
    </w:p>
    <w:p w14:paraId="4898D02A">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oMath>
    </w:p>
    <w:p w14:paraId="2BA12839">
      <w:pPr>
        <w:rPr>
          <w:lang w:val="en-US"/>
        </w:rPr>
      </w:pPr>
      <w:r>
        <w:rPr>
          <w:rFonts w:hint="eastAsia"/>
          <w:lang w:val="en-US" w:eastAsia="zh-CN"/>
        </w:rPr>
        <w:t>w</w:t>
      </w:r>
      <w:r>
        <w:rPr>
          <w:lang w:val="en-US"/>
        </w:rPr>
        <w:t xml:space="preserve">here </w:t>
      </w:r>
      <w:r>
        <w:rPr>
          <w:rFonts w:hint="eastAsia"/>
          <w:i/>
          <w:iCs/>
          <w:lang w:val="en-US" w:eastAsia="zh-CN"/>
        </w:rPr>
        <w:t>D</w:t>
      </w:r>
      <w:r>
        <w:rPr>
          <w:rFonts w:hint="eastAsia"/>
          <w:i/>
          <w:iCs/>
          <w:vertAlign w:val="subscript"/>
          <w:lang w:val="en-US" w:eastAsia="zh-CN"/>
        </w:rPr>
        <w:t>y</w:t>
      </w:r>
      <w:r>
        <w:rPr>
          <w:rFonts w:hint="eastAsia"/>
          <w:lang w:val="en-US" w:eastAsia="zh-CN"/>
        </w:rPr>
        <w:t xml:space="preserve"> i</w:t>
      </w:r>
      <w:r>
        <w:rPr>
          <w:lang w:val="en-US"/>
        </w:rPr>
        <w:t xml:space="preserve">s </w:t>
      </w:r>
      <w:r>
        <w:rPr>
          <w:rFonts w:hint="eastAsia"/>
          <w:lang w:val="en-US" w:eastAsia="zh-CN"/>
        </w:rPr>
        <w:t xml:space="preserve">the length </w:t>
      </w:r>
      <w:r>
        <w:rPr>
          <w:lang w:val="en-US"/>
        </w:rPr>
        <w:t>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y-axis, </w:t>
      </w:r>
      <w:r>
        <w:rPr>
          <w:rFonts w:hint="eastAsia"/>
          <w:i/>
          <w:iCs/>
          <w:lang w:val="en-US" w:eastAsia="zh-CN"/>
        </w:rPr>
        <w:t>D</w:t>
      </w:r>
      <w:r>
        <w:rPr>
          <w:rFonts w:hint="eastAsia"/>
          <w:i/>
          <w:iCs/>
          <w:vertAlign w:val="subscript"/>
          <w:lang w:val="en-US" w:eastAsia="zh-CN"/>
        </w:rPr>
        <w:t>z</w:t>
      </w:r>
      <w:r>
        <w:rPr>
          <w:lang w:val="en-US"/>
        </w:rPr>
        <w:t xml:space="preserve"> is </w:t>
      </w:r>
      <w:r>
        <w:rPr>
          <w:rFonts w:hint="eastAsia"/>
          <w:lang w:val="en-US" w:eastAsia="zh-CN"/>
        </w:rPr>
        <w:t>the length</w:t>
      </w:r>
      <w:r>
        <w:rPr>
          <w:lang w:val="en-US"/>
        </w:rPr>
        <w:t xml:space="preserve"> 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the z-axis.</w:t>
      </w:r>
    </w:p>
    <w:p w14:paraId="6090E115">
      <w:pPr>
        <w:rPr>
          <w:lang w:val="en-US" w:eastAsia="zh-CN"/>
        </w:rPr>
      </w:pPr>
      <w:r>
        <w:rPr>
          <w:lang w:val="en-US" w:eastAsia="zh-CN"/>
        </w:rPr>
        <w:t>According to the relationship between the normalized wave vector and spherical coordinate, the wave vector can be represented as following:</w:t>
      </w:r>
    </w:p>
    <w:p w14:paraId="3117BC52">
      <w:pPr>
        <w:rPr>
          <w:lang w:val="en-US" w:eastAsia="zh-CN"/>
        </w:rPr>
      </w:pPr>
      <m:oMathPara>
        <m:oMath>
          <m:r>
            <m:rP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θ</m:t>
                  </m:r>
                  <m:ctrlPr>
                    <w:rPr>
                      <w:rFonts w:ascii="Cambria Math" w:hAnsi="Cambria Math"/>
                      <w:lang w:val="en-US" w:eastAsia="zh-CN"/>
                    </w:rPr>
                  </m:ctrlPr>
                </m:e>
              </m:d>
              <m:ctrlPr>
                <w:rPr>
                  <w:rFonts w:ascii="Cambria Math" w:hAnsi="Cambria Math"/>
                  <w:lang w:val="en-US" w:eastAsia="zh-CN"/>
                </w:rPr>
              </m:ctrlPr>
            </m:e>
          </m:func>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ϕ</m:t>
                  </m:r>
                  <m:ctrlPr>
                    <w:rPr>
                      <w:rFonts w:ascii="Cambria Math" w:hAnsi="Cambria Math"/>
                      <w:lang w:val="en-US" w:eastAsia="zh-CN"/>
                    </w:rPr>
                  </m:ctrlPr>
                </m:e>
              </m:d>
              <m:ctrlPr>
                <w:rPr>
                  <w:rFonts w:ascii="Cambria Math" w:hAnsi="Cambria Math"/>
                  <w:lang w:val="en-US" w:eastAsia="zh-CN"/>
                </w:rPr>
              </m:ctrlPr>
            </m:e>
          </m:func>
          <m:r>
            <m:rPr>
              <m:sty m:val="p"/>
            </m:rPr>
            <w:rPr>
              <w:rFonts w:ascii="Cambria Math" w:hAnsi="Cambria Math"/>
              <w:lang w:val="en-US" w:eastAsia="zh-CN"/>
            </w:rPr>
            <m:t xml:space="preserve">, </m:t>
          </m:r>
          <m:r>
            <m:rPr/>
            <w:rPr>
              <w:rFonts w:ascii="Cambria Math" w:hAnsi="Cambria Math"/>
              <w:lang w:val="en-US" w:eastAsia="zh-CN"/>
            </w:rPr>
            <m:t>v</m:t>
          </m:r>
          <m:r>
            <m:rPr>
              <m:sty m:val="p"/>
            </m:rPr>
            <w:rPr>
              <w:rFonts w:ascii="Cambria Math" w:hAnsi="Cambria Math"/>
              <w:lang w:val="en-US" w:eastAsia="zh-CN"/>
            </w:rPr>
            <m:t>=cos⁡(</m:t>
          </m:r>
          <m:r>
            <m:rPr/>
            <w:rPr>
              <w:rFonts w:ascii="Cambria Math" w:hAnsi="Cambria Math"/>
              <w:lang w:val="en-US" w:eastAsia="zh-CN"/>
            </w:rPr>
            <m:t>θ</m:t>
          </m:r>
          <m:r>
            <m:rPr>
              <m:sty m:val="p"/>
            </m:rPr>
            <w:rPr>
              <w:rFonts w:ascii="Cambria Math" w:hAnsi="Cambria Math"/>
              <w:lang w:val="en-US" w:eastAsia="zh-CN"/>
            </w:rPr>
            <m:t>)</m:t>
          </m:r>
        </m:oMath>
      </m:oMathPara>
    </w:p>
    <w:p w14:paraId="3FE5ED59">
      <w:pPr>
        <w:rPr>
          <w:lang w:val="en-US" w:eastAsia="zh-CN"/>
        </w:rPr>
      </w:pPr>
      <w:r>
        <w:rPr>
          <w:rFonts w:hint="eastAsia"/>
          <w:lang w:val="en-US" w:eastAsia="zh-CN"/>
        </w:rPr>
        <w:t>The total radiated power (</w:t>
      </w:r>
      <w:r>
        <w:rPr>
          <w:lang w:val="en-US"/>
        </w:rPr>
        <w:t>TRP</w:t>
      </w:r>
      <w:r>
        <w:rPr>
          <w:rFonts w:hint="eastAsia"/>
          <w:lang w:val="en-US" w:eastAsia="zh-CN"/>
        </w:rPr>
        <w:t xml:space="preserve">) in the wave vector space </w:t>
      </w:r>
      <w:r>
        <w:rPr>
          <w:lang w:val="en-US"/>
        </w:rPr>
        <w:t xml:space="preserve">is </w:t>
      </w:r>
      <w:r>
        <w:rPr>
          <w:rFonts w:hint="eastAsia"/>
          <w:lang w:val="en-US" w:eastAsia="zh-CN"/>
        </w:rPr>
        <w:t>determined by</w:t>
      </w:r>
      <w:r>
        <w:rPr>
          <w:lang w:val="en-US" w:eastAsia="zh-CN"/>
        </w:rPr>
        <w:t>:</w:t>
      </w:r>
    </w:p>
    <w:p w14:paraId="72CF33E3">
      <w:pPr>
        <w:pStyle w:val="47"/>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ctrlPr>
              <w:rPr>
                <w:rFonts w:ascii="Cambria Math" w:hAnsi="Cambria Math"/>
                <w:lang w:val="en-US" w:eastAsia="zh-CN"/>
              </w:rPr>
            </m:ctrlPr>
          </m:e>
          <m:sub>
            <m:r>
              <m:rPr/>
              <w:rPr>
                <w:rFonts w:ascii="Cambria Math" w:hAnsi="Cambria Math"/>
                <w:lang w:val="en-US" w:eastAsia="zh-CN"/>
              </w:rPr>
              <m:t>estimate</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4</m:t>
            </m:r>
            <m:r>
              <m:rPr/>
              <w:rPr>
                <w:rFonts w:ascii="Cambria Math" w:hAnsi="Cambria Math"/>
                <w:lang w:val="en-US" w:eastAsia="zh-CN"/>
              </w:rPr>
              <m:t>π</m:t>
            </m:r>
            <m:ctrlPr>
              <w:rPr>
                <w:rFonts w:ascii="Cambria Math" w:hAnsi="Cambria Math"/>
                <w:lang w:val="en-US" w:eastAsia="zh-CN"/>
              </w:rPr>
            </m:ctrlP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&gt;0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&lt;0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ctrlPr>
              <w:rPr>
                <w:rFonts w:ascii="Cambria Math" w:hAnsi="Cambria Math"/>
                <w:lang w:val="en-US" w:eastAsia="zh-CN"/>
              </w:rPr>
            </m:ctrlPr>
          </m:e>
        </m:d>
      </m:oMath>
    </w:p>
    <w:p w14:paraId="55298F5A">
      <w:pPr>
        <w:rPr>
          <w:rFonts w:ascii="Cambria Math" w:hAnsi="Cambria Math"/>
          <w:i/>
          <w:lang w:val="en-US"/>
        </w:rPr>
      </w:pPr>
      <w: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lang w:val="en-US" w:eastAsia="zh-CN"/>
        </w:rPr>
        <w:t xml:space="preserve"> </w:t>
      </w:r>
      <w:r>
        <w:t>of the grid is defined as</w:t>
      </w:r>
    </w:p>
    <w:p w14:paraId="366D5A05">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5A7B6FC9">
      <w:r>
        <w:rPr>
          <w:rFonts w:eastAsia="MS Mincho"/>
        </w:rPr>
        <w:t xml:space="preserve">Where </w:t>
      </w:r>
      <m:oMath>
        <m:r>
          <m:rPr/>
          <w:rPr>
            <w:rFonts w:ascii="Cambria Math" w:hAnsi="Cambria Math" w:eastAsia="MS Mincho"/>
          </w:rPr>
          <m:t>∆</m:t>
        </m:r>
        <m:sSub>
          <m:sSubPr>
            <m:ctrlPr>
              <w:rPr>
                <w:rFonts w:ascii="Cambria Math" w:hAnsi="Cambria Math"/>
                <w:i/>
                <w:lang w:eastAsia="zh-CN"/>
              </w:rPr>
            </m:ctrlPr>
          </m:sSubPr>
          <m:e>
            <m:r>
              <m:rPr/>
              <w:rPr>
                <w:rFonts w:ascii="Cambria Math" w:hAnsi="Cambria Math"/>
                <w:lang w:eastAsia="zh-CN"/>
              </w:rPr>
              <m:t>u</m:t>
            </m:r>
            <m:ctrlPr>
              <w:rPr>
                <w:rFonts w:ascii="Cambria Math" w:hAnsi="Cambria Math"/>
                <w:i/>
                <w:lang w:eastAsia="zh-CN"/>
              </w:rPr>
            </m:ctrlPr>
          </m:e>
          <m:sub>
            <m:r>
              <m:rPr/>
              <w:rPr>
                <w:rFonts w:ascii="Cambria Math" w:hAnsi="Cambria Math"/>
                <w:lang w:eastAsia="zh-CN"/>
              </w:rPr>
              <m:t>grid</m:t>
            </m:r>
            <m:ctrlPr>
              <w:rPr>
                <w:rFonts w:ascii="Cambria Math" w:hAnsi="Cambria Math"/>
                <w:i/>
                <w:lang w:eastAsia="zh-CN"/>
              </w:rPr>
            </m:ctrlPr>
          </m:sub>
        </m:sSub>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steps used in the wave vector space in the measurement and the upper bound of their value is 1/12, corresponding to 15 degree steps close to boresight.</w:t>
      </w:r>
    </w:p>
    <w:p w14:paraId="0F69B207">
      <w:pPr>
        <w:pStyle w:val="2"/>
      </w:pPr>
      <w:bookmarkStart w:id="293" w:name="_Toc53183418"/>
      <w:bookmarkStart w:id="294" w:name="_Toc187258445"/>
      <w:bookmarkStart w:id="295" w:name="_Toc176949638"/>
      <w:bookmarkStart w:id="296" w:name="_Toc76114831"/>
      <w:bookmarkStart w:id="297" w:name="_Toc29810976"/>
      <w:bookmarkStart w:id="298" w:name="_Toc21103127"/>
      <w:bookmarkStart w:id="299" w:name="_Toc99703312"/>
      <w:bookmarkStart w:id="300" w:name="_Toc74916206"/>
      <w:bookmarkStart w:id="301" w:name="_Toc122000057"/>
      <w:bookmarkStart w:id="302" w:name="_Toc98766949"/>
      <w:bookmarkStart w:id="303" w:name="_Toc58916130"/>
      <w:bookmarkStart w:id="304" w:name="_Toc82536839"/>
      <w:bookmarkStart w:id="305" w:name="_Toc45886373"/>
      <w:bookmarkStart w:id="306" w:name="_Toc58918311"/>
      <w:bookmarkStart w:id="307" w:name="_Toc36636337"/>
      <w:bookmarkStart w:id="308" w:name="_Toc156578324"/>
      <w:bookmarkStart w:id="309" w:name="_Toc76544717"/>
      <w:bookmarkStart w:id="310" w:name="_Toc106207104"/>
      <w:bookmarkStart w:id="311" w:name="_Toc124154956"/>
      <w:bookmarkStart w:id="312" w:name="_Toc115081106"/>
      <w:bookmarkStart w:id="313" w:name="_Toc37273283"/>
      <w:bookmarkStart w:id="314" w:name="_Toc66694181"/>
      <w:bookmarkStart w:id="315" w:name="_Toc137396881"/>
      <w:bookmarkStart w:id="316" w:name="_Toc89953132"/>
      <w:r>
        <w:t>I.7</w:t>
      </w:r>
      <w:r>
        <w:tab/>
      </w:r>
      <w:r>
        <w:t>Void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DF6200">
      <w:pPr>
        <w:pStyle w:val="2"/>
      </w:pPr>
      <w:bookmarkStart w:id="317" w:name="_Toc98766950"/>
      <w:bookmarkStart w:id="318" w:name="_Toc29810977"/>
      <w:bookmarkStart w:id="319" w:name="_Toc66694182"/>
      <w:bookmarkStart w:id="320" w:name="_Toc106207105"/>
      <w:bookmarkStart w:id="321" w:name="_Toc53183419"/>
      <w:bookmarkStart w:id="322" w:name="_Toc89953133"/>
      <w:bookmarkStart w:id="323" w:name="_Toc124154957"/>
      <w:bookmarkStart w:id="324" w:name="_Toc176949639"/>
      <w:bookmarkStart w:id="325" w:name="_Toc99703313"/>
      <w:bookmarkStart w:id="326" w:name="_Toc115081107"/>
      <w:bookmarkStart w:id="327" w:name="_Toc36636338"/>
      <w:bookmarkStart w:id="328" w:name="_Toc37273284"/>
      <w:bookmarkStart w:id="329" w:name="_Toc187258446"/>
      <w:bookmarkStart w:id="330" w:name="_Toc156578325"/>
      <w:bookmarkStart w:id="331" w:name="_Toc76114832"/>
      <w:bookmarkStart w:id="332" w:name="_Toc137396882"/>
      <w:bookmarkStart w:id="333" w:name="_Toc122000058"/>
      <w:bookmarkStart w:id="334" w:name="_Toc76544718"/>
      <w:bookmarkStart w:id="335" w:name="_Toc21103128"/>
      <w:bookmarkStart w:id="336" w:name="_Toc74916207"/>
      <w:bookmarkStart w:id="337" w:name="_Toc45886374"/>
      <w:bookmarkStart w:id="338" w:name="_Toc58918312"/>
      <w:bookmarkStart w:id="339" w:name="_Toc82536840"/>
      <w:bookmarkStart w:id="340" w:name="_Toc58916131"/>
      <w:r>
        <w:t>I.8</w:t>
      </w:r>
      <w:r>
        <w:tab/>
      </w:r>
      <w:r>
        <w:t>Void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8BF8153">
      <w:pPr>
        <w:pStyle w:val="2"/>
      </w:pPr>
      <w:bookmarkStart w:id="341" w:name="_Toc36636339"/>
      <w:bookmarkStart w:id="342" w:name="_Toc45886375"/>
      <w:bookmarkStart w:id="343" w:name="_Toc124154958"/>
      <w:bookmarkStart w:id="344" w:name="_Toc21103129"/>
      <w:bookmarkStart w:id="345" w:name="_Toc187258447"/>
      <w:bookmarkStart w:id="346" w:name="_Toc115081108"/>
      <w:bookmarkStart w:id="347" w:name="_Toc76544719"/>
      <w:bookmarkStart w:id="348" w:name="_Toc66694183"/>
      <w:bookmarkStart w:id="349" w:name="_Toc76114833"/>
      <w:bookmarkStart w:id="350" w:name="_Toc137396883"/>
      <w:bookmarkStart w:id="351" w:name="_Toc99703314"/>
      <w:bookmarkStart w:id="352" w:name="_Toc106207106"/>
      <w:bookmarkStart w:id="353" w:name="_Toc122000059"/>
      <w:bookmarkStart w:id="354" w:name="_Toc37273285"/>
      <w:bookmarkStart w:id="355" w:name="_Toc98766951"/>
      <w:bookmarkStart w:id="356" w:name="_Toc176949640"/>
      <w:bookmarkStart w:id="357" w:name="_Toc53183420"/>
      <w:bookmarkStart w:id="358" w:name="_Toc82536841"/>
      <w:bookmarkStart w:id="359" w:name="_Toc156578326"/>
      <w:bookmarkStart w:id="360" w:name="_Toc58918313"/>
      <w:bookmarkStart w:id="361" w:name="_Toc58916132"/>
      <w:bookmarkStart w:id="362" w:name="_Toc74916208"/>
      <w:bookmarkStart w:id="363" w:name="_Toc29810978"/>
      <w:bookmarkStart w:id="364" w:name="_Toc89953134"/>
      <w:r>
        <w:t>I.9</w:t>
      </w:r>
      <w:r>
        <w:tab/>
      </w:r>
      <w:r>
        <w:t>Full sphere with sparse sampling</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5D13980">
      <w:r>
        <w:t>The procedure is as follows:</w:t>
      </w:r>
    </w:p>
    <w:p w14:paraId="1697B001">
      <w:pPr>
        <w:pStyle w:val="54"/>
      </w:pPr>
      <w:r>
        <w:t>1)</w:t>
      </w:r>
      <w:r>
        <w:tab/>
      </w:r>
      <w:r>
        <w:t>Set the angular grid:</w:t>
      </w:r>
    </w:p>
    <w:p w14:paraId="5447DB4C">
      <w:pPr>
        <w:pStyle w:val="114"/>
      </w:pPr>
      <w:r>
        <w:t>a.</w:t>
      </w:r>
      <w:r>
        <w:tab/>
      </w:r>
      <w:r>
        <w:t xml:space="preserve">Non-harmonic frequencies: choose the angular steps </w:t>
      </w:r>
      <m:oMath>
        <m:r>
          <m:rPr>
            <m:sty m:val="p"/>
          </m:rPr>
          <w:rPr>
            <w:rFonts w:ascii="Cambria Math" w:hAnsi="Cambria Math"/>
            <w:lang w:val="en-US"/>
          </w:rPr>
          <m:t>Δ</m:t>
        </m:r>
        <m:r>
          <m:rPr/>
          <w:rPr>
            <w:rFonts w:ascii="Cambria Math" w:hAnsi="Cambria Math"/>
            <w:lang w:val="en-US"/>
          </w:rPr>
          <m:t>ϕ</m:t>
        </m:r>
      </m:oMath>
      <w:r>
        <w:rPr>
          <w:lang w:val="en-US"/>
        </w:rPr>
        <w:t xml:space="preserve"> and </w:t>
      </w:r>
      <m:oMath>
        <m:r>
          <m:rPr>
            <m:sty m:val="p"/>
          </m:rPr>
          <w:rPr>
            <w:rFonts w:ascii="Cambria Math" w:hAnsi="Cambria Math"/>
            <w:lang w:val="en-US"/>
          </w:rPr>
          <m:t>Δ</m:t>
        </m:r>
        <m:r>
          <m:rPr/>
          <w:rPr>
            <w:rFonts w:ascii="Cambria Math" w:hAnsi="Cambria Math"/>
            <w:lang w:val="en-US"/>
          </w:rPr>
          <m:t>θ</m:t>
        </m:r>
      </m:oMath>
      <w:r>
        <w:t xml:space="preserve"> smaller than or equal to 15 degrees. Calculate the sparsity factor (SF) as</w:t>
      </w:r>
    </w:p>
    <w:p w14:paraId="63B4D0A4">
      <w:pPr>
        <w:pStyle w:val="47"/>
        <w:rPr>
          <w:lang w:val="en-US"/>
        </w:rPr>
      </w:pPr>
      <w: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ctrlPr>
              <w:rPr>
                <w:rFonts w:ascii="Cambria Math" w:hAnsi="Cambria Math"/>
                <w:lang w:val="en-US"/>
              </w:rPr>
            </m:ctrlP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ϕ</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θ</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func>
      </m:oMath>
    </w:p>
    <w:p w14:paraId="32EC234C">
      <w:pPr>
        <w:pStyle w:val="115"/>
      </w:pPr>
      <w:r>
        <w:t>and the correction factor as:</w:t>
      </w:r>
    </w:p>
    <w:p w14:paraId="2812E71D">
      <w:pPr>
        <w:pStyle w:val="47"/>
        <w:rPr>
          <w:iCs/>
        </w:rPr>
      </w:pPr>
      <w:r>
        <w:tab/>
      </w:r>
      <m:oMath>
        <m:r>
          <m:rPr>
            <m:sty m:val="p"/>
          </m:rPr>
          <w:rPr>
            <w:rFonts w:ascii="Cambria Math" w:hAnsi="Cambria Math"/>
          </w:rPr>
          <m:t>ΔTRP</m:t>
        </m:r>
        <m:r>
          <m:rPr/>
          <w:rPr>
            <w:rFonts w:ascii="Cambria Math" w:hAnsi="Cambria Math"/>
          </w:rPr>
          <m:t>=</m:t>
        </m:r>
        <m:f>
          <m:fPr>
            <m:ctrlPr>
              <w:rPr>
                <w:rFonts w:ascii="Cambria Math" w:hAnsi="Cambria Math"/>
                <w:iCs/>
              </w:rPr>
            </m:ctrlPr>
          </m:fPr>
          <m:num>
            <m:r>
              <m:rPr>
                <m:sty m:val="p"/>
              </m:rPr>
              <w:rPr>
                <w:rFonts w:ascii="Cambria Math" w:hAnsi="Cambria Math"/>
              </w:rPr>
              <m:t>SF−1</m:t>
            </m:r>
            <m:ctrlPr>
              <w:rPr>
                <w:rFonts w:ascii="Cambria Math" w:hAnsi="Cambria Math"/>
                <w:iCs/>
              </w:rPr>
            </m:ctrlP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r>
              <m:rPr>
                <m:sty m:val="p"/>
              </m:rPr>
              <w:rPr>
                <w:rFonts w:ascii="Cambria Math" w:hAnsi="Cambria Math"/>
              </w:rPr>
              <m:t>−1</m:t>
            </m:r>
            <m:ctrlPr>
              <w:rPr>
                <w:rFonts w:ascii="Cambria Math" w:hAnsi="Cambria Math"/>
                <w:iCs/>
              </w:rPr>
            </m:ctrlPr>
          </m:den>
        </m:f>
        <m:r>
          <m:rPr>
            <m:sty m:val="p"/>
          </m:rPr>
          <w:rPr>
            <w:rFonts w:ascii="Cambria Math" w:hAnsi="Cambria Math"/>
          </w:rPr>
          <m:t>⋅1.0 dB,</m:t>
        </m:r>
      </m:oMath>
    </w:p>
    <w:p w14:paraId="7E2A1BDC">
      <w:pPr>
        <w:pStyle w:val="114"/>
        <w:rPr>
          <w:lang w:val="en-US"/>
        </w:rPr>
      </w:pPr>
      <w:r>
        <w:tab/>
      </w:r>
      <w:r>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w:t>
      </w:r>
    </w:p>
    <w:p w14:paraId="629D39B7">
      <w:pPr>
        <w:pStyle w:val="114"/>
        <w:rPr>
          <w:lang w:val="en-US"/>
        </w:rPr>
      </w:pPr>
      <w:r>
        <w:tab/>
      </w:r>
      <w:r>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ϕ</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θ</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t>. Correction factor ΔTRP is 0 dB.</w:t>
      </w:r>
    </w:p>
    <w:p w14:paraId="76F295E9">
      <w:pPr>
        <w:pStyle w:val="114"/>
        <w:rPr>
          <w:lang w:val="en-US"/>
        </w:rPr>
      </w:pPr>
      <w:bookmarkStart w:id="365" w:name="_Toc21103130"/>
      <w:r>
        <w:tab/>
      </w:r>
      <w:r>
        <w:t>Harmonic frequencies with beam sweeping test signal: set the angular steps to 15 degrees. Correction factor is ΔTRP 0 dB.</w:t>
      </w:r>
    </w:p>
    <w:p w14:paraId="536E08EC">
      <w:pPr>
        <w:pStyle w:val="54"/>
      </w:pPr>
      <w:r>
        <w:t>2)</w:t>
      </w:r>
      <w:r>
        <w:tab/>
      </w:r>
      <w:r>
        <w:t>Apply a suitable numerical integration to calculate the preliminary TRP</w:t>
      </w:r>
      <w:r>
        <w:rPr>
          <w:vertAlign w:val="subscript"/>
        </w:rPr>
        <w:t>Estimate</w:t>
      </w:r>
      <w:r>
        <w:t>.</w:t>
      </w:r>
    </w:p>
    <w:p w14:paraId="3F593A8C">
      <w:pPr>
        <w:pStyle w:val="54"/>
      </w:pPr>
      <w:r>
        <w:t>3)</w:t>
      </w:r>
      <w:r>
        <w:tab/>
      </w:r>
      <w:r>
        <w:t>Add the appropriate correction factor ΔTRP according to step 1 to ensure an overestimation with 95 % confidence.</w:t>
      </w:r>
    </w:p>
    <w:p w14:paraId="5D27ED84">
      <w:pPr>
        <w:pStyle w:val="54"/>
      </w:pPr>
      <w:r>
        <w:t>4)</w:t>
      </w:r>
      <w:r>
        <w:tab/>
      </w:r>
      <w:r>
        <w:t>Compare the corrected TRP</w:t>
      </w:r>
      <w:r>
        <w:rPr>
          <w:vertAlign w:val="subscript"/>
        </w:rPr>
        <w:t>Estimate</w:t>
      </w:r>
      <w:r>
        <w:t xml:space="preserve"> (including ΔTRP) with the limit. If the corrected TRP</w:t>
      </w:r>
      <w:r>
        <w:rPr>
          <w:vertAlign w:val="subscript"/>
        </w:rPr>
        <w:t xml:space="preserve">Estimate </w:t>
      </w:r>
      <w:r>
        <w:t>is above the limit, choose a smaller angular step and repeat steps 2-4. If the sparsity factor is less than one, no significant improvement of accuracy is expected.</w:t>
      </w:r>
    </w:p>
    <w:p w14:paraId="5FCFC6EE">
      <w:pPr>
        <w:pStyle w:val="2"/>
      </w:pPr>
      <w:bookmarkStart w:id="366" w:name="_Toc76114834"/>
      <w:bookmarkStart w:id="367" w:name="_Toc137396884"/>
      <w:bookmarkStart w:id="368" w:name="_Toc37273286"/>
      <w:bookmarkStart w:id="369" w:name="_Toc82536842"/>
      <w:bookmarkStart w:id="370" w:name="_Toc36636340"/>
      <w:bookmarkStart w:id="371" w:name="_Toc53183421"/>
      <w:bookmarkStart w:id="372" w:name="_Toc156578327"/>
      <w:bookmarkStart w:id="373" w:name="_Toc115081109"/>
      <w:bookmarkStart w:id="374" w:name="_Toc45886376"/>
      <w:bookmarkStart w:id="375" w:name="_Toc106207107"/>
      <w:bookmarkStart w:id="376" w:name="_Toc122000060"/>
      <w:bookmarkStart w:id="377" w:name="_Toc29810979"/>
      <w:bookmarkStart w:id="378" w:name="_Toc58916133"/>
      <w:bookmarkStart w:id="379" w:name="_Toc124154959"/>
      <w:bookmarkStart w:id="380" w:name="_Toc89953135"/>
      <w:bookmarkStart w:id="381" w:name="_Toc99703315"/>
      <w:bookmarkStart w:id="382" w:name="_Toc187258448"/>
      <w:bookmarkStart w:id="383" w:name="_Toc176949641"/>
      <w:bookmarkStart w:id="384" w:name="_Toc66694184"/>
      <w:bookmarkStart w:id="385" w:name="_Toc98766952"/>
      <w:bookmarkStart w:id="386" w:name="_Toc58918314"/>
      <w:bookmarkStart w:id="387" w:name="_Toc74916209"/>
      <w:bookmarkStart w:id="388" w:name="_Toc76544720"/>
      <w:r>
        <w:t>I.10</w:t>
      </w:r>
      <w:r>
        <w:tab/>
      </w:r>
      <w:r>
        <w:t>Beam-based directions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10F7A78">
      <w:r>
        <w:t xml:space="preserve">Beam-based direction can be used in the base station </w:t>
      </w:r>
      <w:r>
        <w:rPr>
          <w:i/>
        </w:rPr>
        <w:t>operating band</w:t>
      </w:r>
      <w:r>
        <w:t xml:space="preserve"> only if the directivity of the radiation pattern of the emssions being measured is known. TRP</w:t>
      </w:r>
      <w:r>
        <w:rPr>
          <w:vertAlign w:val="subscript"/>
        </w:rPr>
        <w:t>Estimate</w:t>
      </w:r>
      <w:r>
        <w:t xml:space="preserve"> is defined as</w:t>
      </w:r>
    </w:p>
    <w:p w14:paraId="09DA178D">
      <w:pPr>
        <w:pStyle w:val="54"/>
      </w:pP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ctrlPr>
              <w:rPr>
                <w:rFonts w:ascii="Cambria Math" w:hAnsi="Cambria Math"/>
              </w:rPr>
            </m:ctrlPr>
          </m:den>
        </m:f>
      </m:oMath>
      <w:r>
        <w:t xml:space="preserve">, where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oMath>
      <w:r>
        <w:t xml:space="preserve"> is the maximum EIRP in the beam peak direction within a particular beam direction pair and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oMath>
      <w:r>
        <w:t xml:space="preserve"> is the directivity of the EUT.</w:t>
      </w:r>
    </w:p>
    <w:p w14:paraId="569661C9">
      <w:pPr>
        <w:pStyle w:val="2"/>
      </w:pPr>
      <w:bookmarkStart w:id="389" w:name="_Toc137396885"/>
      <w:bookmarkStart w:id="390" w:name="_Toc176949642"/>
      <w:bookmarkStart w:id="391" w:name="_Toc29810980"/>
      <w:bookmarkStart w:id="392" w:name="_Toc66694185"/>
      <w:bookmarkStart w:id="393" w:name="_Toc76544721"/>
      <w:bookmarkStart w:id="394" w:name="_Toc98766953"/>
      <w:bookmarkStart w:id="395" w:name="_Toc74916210"/>
      <w:bookmarkStart w:id="396" w:name="_Toc156578328"/>
      <w:bookmarkStart w:id="397" w:name="_Toc58918315"/>
      <w:bookmarkStart w:id="398" w:name="_Toc124154960"/>
      <w:bookmarkStart w:id="399" w:name="_Toc21103131"/>
      <w:bookmarkStart w:id="400" w:name="_Toc106207108"/>
      <w:bookmarkStart w:id="401" w:name="_Toc36636341"/>
      <w:bookmarkStart w:id="402" w:name="_Toc122000061"/>
      <w:bookmarkStart w:id="403" w:name="_Toc82536843"/>
      <w:bookmarkStart w:id="404" w:name="_Toc99703316"/>
      <w:bookmarkStart w:id="405" w:name="_Toc89953136"/>
      <w:bookmarkStart w:id="406" w:name="_Toc58916134"/>
      <w:bookmarkStart w:id="407" w:name="_Toc187258449"/>
      <w:bookmarkStart w:id="408" w:name="_Toc115081110"/>
      <w:bookmarkStart w:id="409" w:name="_Toc37273287"/>
      <w:bookmarkStart w:id="410" w:name="_Toc45886377"/>
      <w:bookmarkStart w:id="411" w:name="_Toc76114835"/>
      <w:bookmarkStart w:id="412" w:name="_Toc53183422"/>
      <w:r>
        <w:t>I.11</w:t>
      </w:r>
      <w:r>
        <w:tab/>
      </w:r>
      <w:r>
        <w:t>Peak method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232533B">
      <w:r>
        <w:t>The peak method can be used when frequencies with unwanted peak emissions are identified during pre-scan. The method does not provide an estimate of TRP.</w:t>
      </w:r>
    </w:p>
    <w:p w14:paraId="3FAFD7E6">
      <w:r>
        <w:t>For each peak emission frequency identified during pre-scan, measure peak EIRP or power density as follows:</w:t>
      </w:r>
    </w:p>
    <w:p w14:paraId="57FA67BF">
      <w:pPr>
        <w:pStyle w:val="54"/>
        <w:rPr>
          <w:lang w:val="en-US"/>
        </w:rPr>
      </w:pPr>
      <w:r>
        <w:rPr>
          <w:lang w:val="en-US"/>
        </w:rPr>
        <w:t>1)</w:t>
      </w:r>
      <w:r>
        <w:rPr>
          <w:lang w:val="en-US"/>
        </w:rPr>
        <w:tab/>
      </w:r>
      <w:r>
        <w:rPr>
          <w:lang w:val="en-US"/>
        </w:rPr>
        <w:t>Move EUT and test antenna to the same position where the peak emission is recorded during the pre-scan.</w:t>
      </w:r>
    </w:p>
    <w:p w14:paraId="3C6AF862">
      <w:pPr>
        <w:pStyle w:val="54"/>
      </w:pPr>
      <w:r>
        <w:rPr>
          <w:lang w:val="en-US"/>
        </w:rPr>
        <w:t>2)</w:t>
      </w:r>
      <w:r>
        <w:rPr>
          <w:lang w:val="en-US"/>
        </w:rPr>
        <w:tab/>
      </w:r>
      <w:r>
        <w:rPr>
          <w:lang w:val="en-US"/>
        </w:rPr>
        <w:t>Move the EUT around the position and test antenna orientation to find the final peak EIRP or power density.</w:t>
      </w:r>
    </w:p>
    <w:p w14:paraId="6EC793F3">
      <w:pPr>
        <w:pStyle w:val="54"/>
      </w:pPr>
      <w:r>
        <w:rPr>
          <w:lang w:val="en-US"/>
        </w:rPr>
        <w:t>3)</w:t>
      </w:r>
      <w:r>
        <w:rPr>
          <w:lang w:val="en-US"/>
        </w:rPr>
        <w:tab/>
      </w:r>
      <w:r>
        <w:rPr>
          <w:lang w:val="en-US"/>
        </w:rPr>
        <w:t>The measured peak power density or EIRP shall be used to demonstrate conformance.</w:t>
      </w:r>
    </w:p>
    <w:p w14:paraId="7983D500">
      <w:pPr>
        <w:pStyle w:val="45"/>
      </w:pPr>
      <w:r>
        <w:t>NOTE:</w:t>
      </w:r>
      <w:r>
        <w:tab/>
      </w:r>
      <w:r>
        <w:t>Peak EIRP is the linear sum of two orthogonal polarized components.</w:t>
      </w:r>
    </w:p>
    <w:p w14:paraId="518F476D">
      <w:pPr>
        <w:pStyle w:val="2"/>
      </w:pPr>
      <w:bookmarkStart w:id="413" w:name="_Toc122000062"/>
      <w:bookmarkStart w:id="414" w:name="_Toc99703317"/>
      <w:bookmarkStart w:id="415" w:name="_Toc82536844"/>
      <w:bookmarkStart w:id="416" w:name="_Toc74916211"/>
      <w:bookmarkStart w:id="417" w:name="_Toc53183423"/>
      <w:bookmarkStart w:id="418" w:name="_Toc58918316"/>
      <w:bookmarkStart w:id="419" w:name="_Toc176949643"/>
      <w:bookmarkStart w:id="420" w:name="_Toc58916135"/>
      <w:bookmarkStart w:id="421" w:name="_Toc137396886"/>
      <w:bookmarkStart w:id="422" w:name="_Toc98766954"/>
      <w:bookmarkStart w:id="423" w:name="_Toc76114836"/>
      <w:bookmarkStart w:id="424" w:name="_Toc106207109"/>
      <w:bookmarkStart w:id="425" w:name="_Toc66694186"/>
      <w:bookmarkStart w:id="426" w:name="_Toc29810981"/>
      <w:bookmarkStart w:id="427" w:name="_Toc156578329"/>
      <w:bookmarkStart w:id="428" w:name="_Toc21103132"/>
      <w:bookmarkStart w:id="429" w:name="_Toc115081111"/>
      <w:bookmarkStart w:id="430" w:name="_Toc124154961"/>
      <w:bookmarkStart w:id="431" w:name="_Toc187258450"/>
      <w:bookmarkStart w:id="432" w:name="_Toc37273288"/>
      <w:bookmarkStart w:id="433" w:name="_Toc76544722"/>
      <w:bookmarkStart w:id="434" w:name="_Toc89953137"/>
      <w:bookmarkStart w:id="435" w:name="_Toc45886378"/>
      <w:bookmarkStart w:id="436" w:name="_Toc36636342"/>
      <w:r>
        <w:t>I.12</w:t>
      </w:r>
      <w:r>
        <w:tab/>
      </w:r>
      <w:r>
        <w:t>Equal sector with peak average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0B40621">
      <w:r>
        <w:t>Equal sector with peak average can be performed on frequencies with unwanted peak emission, which are considered by the peak method for further measurements.</w:t>
      </w:r>
    </w:p>
    <w:p w14:paraId="155BD830">
      <w:r>
        <w:rPr>
          <w:lang w:val="en-US"/>
        </w:rPr>
        <w:t xml:space="preserve">The spherical angle </w:t>
      </w:r>
      <m:oMath>
        <m:r>
          <m:rP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7F8165C1">
      <w:r>
        <w:t>For each peak emission frequency, measure peak EIRP of beams belonging to different sectors of the sphere as follows:</w:t>
      </w:r>
    </w:p>
    <w:p w14:paraId="22298AEC">
      <w:pPr>
        <w:pStyle w:val="54"/>
        <w:rPr>
          <w:lang w:val="en-US"/>
        </w:rPr>
      </w:pPr>
      <w:r>
        <w:rPr>
          <w:lang w:val="en-US"/>
        </w:rPr>
        <w:t>1)</w:t>
      </w:r>
      <w:r>
        <w:rPr>
          <w:lang w:val="en-US"/>
        </w:rPr>
        <w:tab/>
      </w:r>
      <w:r>
        <w:rPr>
          <w:lang w:val="en-US"/>
        </w:rPr>
        <w:t>Move EUT and test antenna to the same position where the emission peak is recorded during the pre-scan.</w:t>
      </w:r>
    </w:p>
    <w:p w14:paraId="2EC34DE3">
      <w:pPr>
        <w:pStyle w:val="54"/>
        <w:rPr>
          <w:lang w:val="en-US"/>
        </w:rPr>
      </w:pPr>
      <w:r>
        <w:rPr>
          <w:lang w:val="en-US"/>
        </w:rPr>
        <w:t>2)</w:t>
      </w:r>
      <w:r>
        <w:rPr>
          <w:lang w:val="en-US"/>
        </w:rPr>
        <w:tab/>
      </w:r>
      <w:r>
        <w:rPr>
          <w:lang w:val="en-US"/>
        </w:rPr>
        <w:t>Move EUT around the position and test antenna orientation to find the final peak EIRP.</w:t>
      </w:r>
    </w:p>
    <w:p w14:paraId="158FC240">
      <w:pPr>
        <w:pStyle w:val="54"/>
      </w:pPr>
      <w:r>
        <w:rPr>
          <w:lang w:val="en-US"/>
        </w:rPr>
        <w:t>3)</w:t>
      </w:r>
      <w:r>
        <w:rPr>
          <w:lang w:val="en-US"/>
        </w:rPr>
        <w:tab/>
      </w:r>
      <w:r>
        <w:rPr>
          <w:lang w:val="en-US"/>
        </w:rPr>
        <w:t>Repeat Steps 1 to 2 until all sectors are covered.</w:t>
      </w:r>
    </w:p>
    <w:p w14:paraId="471BE159">
      <w:pPr>
        <w:pStyle w:val="54"/>
      </w:pPr>
      <w:r>
        <w:rPr>
          <w:lang w:val="en-US"/>
        </w:rPr>
        <w:t>4)</w:t>
      </w:r>
      <w:r>
        <w:rPr>
          <w:lang w:val="en-US"/>
        </w:rPr>
        <w:tab/>
      </w:r>
      <w:r>
        <w:rPr>
          <w:lang w:val="en-US"/>
        </w:rPr>
        <w:t>Calculate TRP</w:t>
      </w:r>
      <w:r>
        <w:rPr>
          <w:vertAlign w:val="subscript"/>
          <w:lang w:val="en-US"/>
        </w:rPr>
        <w:t>Estimate</w:t>
      </w:r>
      <w:r>
        <w:rPr>
          <w:lang w:val="en-US"/>
        </w:rPr>
        <w:t xml:space="preserve"> as</w:t>
      </w:r>
    </w:p>
    <w:p w14:paraId="13A0F3D8">
      <w:pPr>
        <w:pStyle w:val="47"/>
        <w:rPr>
          <w:lang w:val="en-US"/>
        </w:rPr>
      </w:pPr>
      <w:r>
        <w:rPr>
          <w:lang w:val="en-US"/>
        </w:rPr>
        <w:tab/>
      </w:r>
      <m:oMath>
        <m:sSub>
          <m:sSubPr>
            <m:ctrlPr>
              <w:rPr>
                <w:rFonts w:ascii="Cambria Math" w:hAnsi="Cambria Math"/>
                <w:lang w:val="en-US"/>
              </w:rPr>
            </m:ctrlPr>
          </m:sSubPr>
          <m:e>
            <m:r>
              <m:rPr/>
              <w:rPr>
                <w:rFonts w:ascii="Cambria Math" w:hAnsi="Cambria Math"/>
                <w:lang w:val="en-US"/>
              </w:rPr>
              <m:t>TRP</m:t>
            </m:r>
            <m:ctrlPr>
              <w:rPr>
                <w:rFonts w:ascii="Cambria Math" w:hAnsi="Cambria Math"/>
                <w:lang w:val="en-US"/>
              </w:rPr>
            </m:ctrlPr>
          </m:e>
          <m:sub>
            <m:r>
              <m:rPr/>
              <w:rPr>
                <w:rFonts w:ascii="Cambria Math" w:hAnsi="Cambria Math"/>
                <w:lang w:val="en-US"/>
              </w:rPr>
              <m:t>Estimate</m:t>
            </m:r>
            <m:ctrlPr>
              <w:rPr>
                <w:rFonts w:ascii="Cambria Math" w:hAnsi="Cambria Math"/>
                <w:lang w:val="en-US"/>
              </w:rPr>
            </m:ctrlP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ctrlPr>
              <w:rPr>
                <w:rFonts w:ascii="Cambria Math" w:hAnsi="Cambria Math"/>
                <w:lang w:val="en-US"/>
              </w:rPr>
            </m:ctrlPr>
          </m:num>
          <m:den>
            <m:r>
              <m:rPr/>
              <w:rPr>
                <w:rFonts w:ascii="Cambria Math" w:hAnsi="Cambria Math"/>
                <w:lang w:val="en-US"/>
              </w:rPr>
              <m:t>K</m:t>
            </m:r>
            <m:ctrlPr>
              <w:rPr>
                <w:rFonts w:ascii="Cambria Math" w:hAnsi="Cambria Math"/>
                <w:lang w:val="en-US"/>
              </w:rPr>
            </m:ctrlPr>
          </m:den>
        </m:f>
        <m:nary>
          <m:naryPr>
            <m:chr m:val="∑"/>
            <m:limLoc m:val="undOvr"/>
            <m:ctrlPr>
              <w:rPr>
                <w:rFonts w:ascii="Cambria Math" w:hAnsi="Cambria Math"/>
                <w:lang w:val="en-US"/>
              </w:rPr>
            </m:ctrlPr>
          </m:naryPr>
          <m:sub>
            <m:r>
              <m:rPr/>
              <w:rPr>
                <w:rFonts w:ascii="Cambria Math" w:hAnsi="Cambria Math"/>
                <w:lang w:val="en-US"/>
              </w:rPr>
              <m:t>k</m:t>
            </m:r>
            <m:r>
              <m:rPr>
                <m:sty m:val="p"/>
              </m:rPr>
              <w:rPr>
                <w:rFonts w:ascii="Cambria Math" w:hAnsi="Cambria Math"/>
                <w:lang w:val="en-US"/>
              </w:rPr>
              <m:t>=1</m:t>
            </m:r>
            <m:ctrlPr>
              <w:rPr>
                <w:rFonts w:ascii="Cambria Math" w:hAnsi="Cambria Math"/>
                <w:lang w:val="en-US"/>
              </w:rPr>
            </m:ctrlPr>
          </m:sub>
          <m:sup>
            <m:r>
              <m:rPr/>
              <w:rPr>
                <w:rFonts w:ascii="Cambria Math" w:hAnsi="Cambria Math"/>
                <w:lang w:val="en-US"/>
              </w:rPr>
              <m:t>K</m:t>
            </m:r>
            <m:ctrlPr>
              <w:rPr>
                <w:rFonts w:ascii="Cambria Math" w:hAnsi="Cambria Math"/>
                <w:lang w:val="en-US"/>
              </w:rPr>
            </m:ctrlPr>
          </m:sup>
          <m:e>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ctrlPr>
              <w:rPr>
                <w:rFonts w:ascii="Cambria Math" w:hAnsi="Cambria Math"/>
                <w:lang w:val="en-US"/>
              </w:rPr>
            </m:ctrlPr>
          </m:e>
        </m:nary>
      </m:oMath>
      <w:r>
        <w:rPr>
          <w:lang w:val="en-US"/>
        </w:rPr>
        <w:t xml:space="preserve">, where </w:t>
      </w:r>
      <m:oMath>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oMath>
      <w:r>
        <w:rPr>
          <w:lang w:val="en-US"/>
        </w:rPr>
        <w:t xml:space="preserve"> is the peak EIRP in the kth sector.</w:t>
      </w:r>
    </w:p>
    <w:p w14:paraId="32803590">
      <w:pPr>
        <w:pStyle w:val="45"/>
        <w:rPr>
          <w:lang w:val="en-US"/>
        </w:rPr>
      </w:pPr>
      <w:r>
        <w:rPr>
          <w:lang w:val="en-US"/>
        </w:rPr>
        <w:t>NOTE:</w:t>
      </w:r>
      <w:r>
        <w:rPr>
          <w:lang w:val="en-US"/>
        </w:rPr>
        <w:tab/>
      </w:r>
      <w:r>
        <w:rPr>
          <w:lang w:val="en-US"/>
        </w:rPr>
        <w:t>Peak EIRP is the linear sum of two orthogonal polarized components.</w:t>
      </w:r>
    </w:p>
    <w:p w14:paraId="7B93A4E2">
      <w:pPr>
        <w:pStyle w:val="2"/>
      </w:pPr>
      <w:bookmarkStart w:id="437" w:name="_Toc45886379"/>
      <w:bookmarkStart w:id="438" w:name="_Toc106207110"/>
      <w:bookmarkStart w:id="439" w:name="_Toc98766955"/>
      <w:bookmarkStart w:id="440" w:name="_Toc124154962"/>
      <w:bookmarkStart w:id="441" w:name="_Toc137396887"/>
      <w:bookmarkStart w:id="442" w:name="_Toc76544723"/>
      <w:bookmarkStart w:id="443" w:name="_Toc99703318"/>
      <w:bookmarkStart w:id="444" w:name="_Toc37273289"/>
      <w:bookmarkStart w:id="445" w:name="_Toc58916136"/>
      <w:bookmarkStart w:id="446" w:name="_Toc66694187"/>
      <w:bookmarkStart w:id="447" w:name="_Toc89953138"/>
      <w:bookmarkStart w:id="448" w:name="_Toc36636343"/>
      <w:bookmarkStart w:id="449" w:name="_Toc115081112"/>
      <w:bookmarkStart w:id="450" w:name="_Toc29810982"/>
      <w:bookmarkStart w:id="451" w:name="_Toc53183424"/>
      <w:bookmarkStart w:id="452" w:name="_Toc176949644"/>
      <w:bookmarkStart w:id="453" w:name="_Toc76114837"/>
      <w:bookmarkStart w:id="454" w:name="_Toc21103133"/>
      <w:bookmarkStart w:id="455" w:name="_Toc156578330"/>
      <w:bookmarkStart w:id="456" w:name="_Toc74916212"/>
      <w:bookmarkStart w:id="457" w:name="_Toc82536845"/>
      <w:bookmarkStart w:id="458" w:name="_Toc187258451"/>
      <w:bookmarkStart w:id="459" w:name="_Toc122000063"/>
      <w:bookmarkStart w:id="460" w:name="_Toc58918317"/>
      <w:r>
        <w:t>I.13</w:t>
      </w:r>
      <w:r>
        <w:tab/>
      </w:r>
      <w:r>
        <w:t>Pre-scan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A296E8E">
      <w: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5283328C">
      <w:r>
        <w:t>The procedure for pre-scan is as follows:</w:t>
      </w:r>
    </w:p>
    <w:p w14:paraId="0E371375">
      <w:pPr>
        <w:pStyle w:val="54"/>
      </w:pPr>
      <w:r>
        <w:rPr>
          <w:lang w:val="en-US"/>
        </w:rPr>
        <w:t>1)</w:t>
      </w:r>
      <w:r>
        <w:rPr>
          <w:lang w:val="en-US"/>
        </w:rPr>
        <w:tab/>
      </w:r>
      <w:r>
        <w:rPr>
          <w:lang w:val="en-US"/>
        </w:rPr>
        <w:t>Scan the entire surface around EUT.</w:t>
      </w:r>
    </w:p>
    <w:p w14:paraId="71F226E0">
      <w:pPr>
        <w:pStyle w:val="54"/>
      </w:pPr>
      <w:r>
        <w:rPr>
          <w:lang w:val="en-US"/>
        </w:rPr>
        <w:t>2)</w:t>
      </w:r>
      <w:r>
        <w:rPr>
          <w:lang w:val="en-US"/>
        </w:rPr>
        <w:tab/>
      </w:r>
      <w:r>
        <w:rPr>
          <w:lang w:val="en-US"/>
        </w:rPr>
        <w:t>Rotate test antenna to cover all possible polarizations of emissions to detect maximum emissions.</w:t>
      </w:r>
    </w:p>
    <w:p w14:paraId="71CA4221">
      <w:pPr>
        <w:pStyle w:val="54"/>
        <w:rPr>
          <w:lang w:val="en-US"/>
        </w:rPr>
      </w:pPr>
      <w:r>
        <w:rPr>
          <w:lang w:val="en-US"/>
        </w:rPr>
        <w:t>3)</w:t>
      </w:r>
      <w:r>
        <w:rPr>
          <w:lang w:val="en-US"/>
        </w:rPr>
        <w:tab/>
      </w:r>
      <w:r>
        <w:rPr>
          <w:lang w:val="en-US"/>
        </w:rPr>
        <w:t>Record the list of frequencies and corresponding unwanted emission power levels, EUT spatial positions, and test antenna polarization for which the maximum emission levels occur.</w:t>
      </w:r>
    </w:p>
    <w:p w14:paraId="7757D569">
      <w:pPr>
        <w:pStyle w:val="54"/>
        <w:rPr>
          <w:lang w:val="en-US"/>
        </w:rPr>
      </w:pPr>
      <w:r>
        <w:t>4)</w:t>
      </w:r>
      <w:r>
        <w:tab/>
      </w:r>
      <w:r>
        <w:t>Emissions which</w:t>
      </w:r>
      <w:r>
        <w:rPr>
          <w:lang w:val="en-US"/>
        </w:rPr>
        <w:t xml:space="preserve"> </w:t>
      </w:r>
      <w:r>
        <w:t xml:space="preserve">20 dB or more below </w:t>
      </w:r>
      <w:r>
        <w:rPr>
          <w:lang w:val="en-US"/>
        </w:rPr>
        <w:t>the specified limit</w:t>
      </w:r>
      <w:r>
        <w:t xml:space="preserve"> shall not require further measurements.</w:t>
      </w:r>
    </w:p>
    <w:p w14:paraId="4B995CAF">
      <w:pPr>
        <w:pStyle w:val="57"/>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959A5"/>
    <w:multiLevelType w:val="singleLevel"/>
    <w:tmpl w:val="B97959A5"/>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E0A5E75"/>
    <w:multiLevelType w:val="singleLevel"/>
    <w:tmpl w:val="EE0A5E75"/>
    <w:lvl w:ilvl="0" w:tentative="0">
      <w:start w:val="1"/>
      <w:numFmt w:val="decimal"/>
      <w:suff w:val="space"/>
      <w:lvlText w:val="%1)"/>
      <w:lvlJc w:val="left"/>
    </w:lvl>
  </w:abstractNum>
  <w:abstractNum w:abstractNumId="3">
    <w:nsid w:val="FB770B59"/>
    <w:multiLevelType w:val="singleLevel"/>
    <w:tmpl w:val="FB770B59"/>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4"/>
  </w:num>
  <w:num w:numId="3">
    <w:abstractNumId w:val="5"/>
  </w:num>
  <w:num w:numId="4">
    <w:abstractNumId w:val="6"/>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1FF638F"/>
    <w:rsid w:val="02016155"/>
    <w:rsid w:val="020F4070"/>
    <w:rsid w:val="021042F2"/>
    <w:rsid w:val="021A2C38"/>
    <w:rsid w:val="021A4578"/>
    <w:rsid w:val="021D2604"/>
    <w:rsid w:val="022533D4"/>
    <w:rsid w:val="02293A2A"/>
    <w:rsid w:val="022C6982"/>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66461"/>
    <w:rsid w:val="04D95F6F"/>
    <w:rsid w:val="04E06510"/>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4D13E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61D07"/>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173DB"/>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76735"/>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9F67759"/>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84BA4"/>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4EE0"/>
    <w:rsid w:val="0AA40CFE"/>
    <w:rsid w:val="0AA4164F"/>
    <w:rsid w:val="0AA45932"/>
    <w:rsid w:val="0AA50074"/>
    <w:rsid w:val="0AAB401F"/>
    <w:rsid w:val="0AB21F41"/>
    <w:rsid w:val="0AB329A9"/>
    <w:rsid w:val="0AB97D26"/>
    <w:rsid w:val="0ABA55D8"/>
    <w:rsid w:val="0ABC7E5E"/>
    <w:rsid w:val="0AC23AEF"/>
    <w:rsid w:val="0AC51838"/>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4477A"/>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77ABC"/>
    <w:rsid w:val="0EAA30A8"/>
    <w:rsid w:val="0EB11C1A"/>
    <w:rsid w:val="0EB34961"/>
    <w:rsid w:val="0EB775D4"/>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12B5C"/>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67587"/>
    <w:rsid w:val="1037078D"/>
    <w:rsid w:val="103806C3"/>
    <w:rsid w:val="103A076E"/>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031DE"/>
    <w:rsid w:val="11B50817"/>
    <w:rsid w:val="11B52CFA"/>
    <w:rsid w:val="11B66269"/>
    <w:rsid w:val="11BA0839"/>
    <w:rsid w:val="11BE25B0"/>
    <w:rsid w:val="11C05F8A"/>
    <w:rsid w:val="11CA3974"/>
    <w:rsid w:val="11D96062"/>
    <w:rsid w:val="11DD7754"/>
    <w:rsid w:val="11E4369D"/>
    <w:rsid w:val="11EA6B41"/>
    <w:rsid w:val="11EE118C"/>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75D67"/>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93BB8"/>
    <w:rsid w:val="140D5E1A"/>
    <w:rsid w:val="1410395F"/>
    <w:rsid w:val="141624C3"/>
    <w:rsid w:val="141B08A6"/>
    <w:rsid w:val="14220CA7"/>
    <w:rsid w:val="14257AC5"/>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C5578"/>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17CD8"/>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97C4D"/>
    <w:rsid w:val="183E4121"/>
    <w:rsid w:val="183F3DA9"/>
    <w:rsid w:val="184068C1"/>
    <w:rsid w:val="18416527"/>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25A84"/>
    <w:rsid w:val="18C9246D"/>
    <w:rsid w:val="18CC589D"/>
    <w:rsid w:val="18CC75E7"/>
    <w:rsid w:val="18CF7D05"/>
    <w:rsid w:val="18D979C0"/>
    <w:rsid w:val="18DE1E44"/>
    <w:rsid w:val="18DE5861"/>
    <w:rsid w:val="18DF766E"/>
    <w:rsid w:val="18E63059"/>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6682B"/>
    <w:rsid w:val="194A1ACB"/>
    <w:rsid w:val="194C1059"/>
    <w:rsid w:val="194C176F"/>
    <w:rsid w:val="19500DD6"/>
    <w:rsid w:val="19521210"/>
    <w:rsid w:val="19537076"/>
    <w:rsid w:val="195621A4"/>
    <w:rsid w:val="19564B19"/>
    <w:rsid w:val="19580F8E"/>
    <w:rsid w:val="195E2D4F"/>
    <w:rsid w:val="195E346D"/>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14838"/>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E6C3E"/>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643AF"/>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84130"/>
    <w:rsid w:val="1B73181B"/>
    <w:rsid w:val="1B7906CE"/>
    <w:rsid w:val="1B7A6C9A"/>
    <w:rsid w:val="1B7D07F3"/>
    <w:rsid w:val="1B831B2B"/>
    <w:rsid w:val="1B83626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4F5DC7"/>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B6A9E"/>
    <w:rsid w:val="1D9C5DA0"/>
    <w:rsid w:val="1D9C7126"/>
    <w:rsid w:val="1D9F462B"/>
    <w:rsid w:val="1DA0658B"/>
    <w:rsid w:val="1DA1442D"/>
    <w:rsid w:val="1DA265B5"/>
    <w:rsid w:val="1DAA72BB"/>
    <w:rsid w:val="1DAC0C4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B0B66"/>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E6476"/>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D33E6"/>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3F7841"/>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6C4B1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8B636C"/>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4DE7"/>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61B11"/>
    <w:rsid w:val="2A49761F"/>
    <w:rsid w:val="2A4C74B8"/>
    <w:rsid w:val="2A4F133B"/>
    <w:rsid w:val="2A4F49D1"/>
    <w:rsid w:val="2A500712"/>
    <w:rsid w:val="2A54313A"/>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56B92"/>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CE7850"/>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32DE"/>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D9717D"/>
    <w:rsid w:val="31E302B9"/>
    <w:rsid w:val="31E83A8A"/>
    <w:rsid w:val="31F20023"/>
    <w:rsid w:val="31F31FF7"/>
    <w:rsid w:val="31F52FE4"/>
    <w:rsid w:val="31F536F7"/>
    <w:rsid w:val="31FA3C94"/>
    <w:rsid w:val="31FA7AEE"/>
    <w:rsid w:val="31FB60C5"/>
    <w:rsid w:val="32021A78"/>
    <w:rsid w:val="3209100C"/>
    <w:rsid w:val="32132BEF"/>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516FC"/>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3763E"/>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7135C"/>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34C9F"/>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8A7587"/>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17C25"/>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445F3"/>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55282"/>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71D2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1510"/>
    <w:rsid w:val="3F673021"/>
    <w:rsid w:val="3F6B3632"/>
    <w:rsid w:val="3F742249"/>
    <w:rsid w:val="3F75355D"/>
    <w:rsid w:val="3F776E0A"/>
    <w:rsid w:val="3F8978E2"/>
    <w:rsid w:val="3F8A350A"/>
    <w:rsid w:val="3F8D5BDC"/>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41CE4"/>
    <w:rsid w:val="42C5796D"/>
    <w:rsid w:val="42CA4EB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A01A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45F67"/>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96108"/>
    <w:rsid w:val="459B634C"/>
    <w:rsid w:val="459D445E"/>
    <w:rsid w:val="459F2381"/>
    <w:rsid w:val="45A1053A"/>
    <w:rsid w:val="45A11196"/>
    <w:rsid w:val="45A47990"/>
    <w:rsid w:val="45A60E44"/>
    <w:rsid w:val="45A74FA6"/>
    <w:rsid w:val="45AA0217"/>
    <w:rsid w:val="45B275E1"/>
    <w:rsid w:val="45B315CE"/>
    <w:rsid w:val="45B5611D"/>
    <w:rsid w:val="45B64B84"/>
    <w:rsid w:val="45BA6033"/>
    <w:rsid w:val="45C85EA2"/>
    <w:rsid w:val="45D9022E"/>
    <w:rsid w:val="45DA6450"/>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30F77"/>
    <w:rsid w:val="47457188"/>
    <w:rsid w:val="474A7769"/>
    <w:rsid w:val="474F3AFA"/>
    <w:rsid w:val="47502F2C"/>
    <w:rsid w:val="47505EC1"/>
    <w:rsid w:val="47561DDC"/>
    <w:rsid w:val="47592D4E"/>
    <w:rsid w:val="475C780A"/>
    <w:rsid w:val="47644CFB"/>
    <w:rsid w:val="47666951"/>
    <w:rsid w:val="47683159"/>
    <w:rsid w:val="476A7D07"/>
    <w:rsid w:val="478046DF"/>
    <w:rsid w:val="479766B4"/>
    <w:rsid w:val="479A2857"/>
    <w:rsid w:val="479A401E"/>
    <w:rsid w:val="479A472B"/>
    <w:rsid w:val="479B093E"/>
    <w:rsid w:val="479D7800"/>
    <w:rsid w:val="47A240A4"/>
    <w:rsid w:val="47A60277"/>
    <w:rsid w:val="47A83BFD"/>
    <w:rsid w:val="47AA1593"/>
    <w:rsid w:val="47B44BED"/>
    <w:rsid w:val="47B77348"/>
    <w:rsid w:val="47BA2C79"/>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7E2EF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BFC7D04"/>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2D4456"/>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8814DC"/>
    <w:rsid w:val="4D8A58C0"/>
    <w:rsid w:val="4D8C494F"/>
    <w:rsid w:val="4D8D11C1"/>
    <w:rsid w:val="4D913772"/>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37BB8"/>
    <w:rsid w:val="4F64562E"/>
    <w:rsid w:val="4F6909C9"/>
    <w:rsid w:val="4F6E6F86"/>
    <w:rsid w:val="4F7278C6"/>
    <w:rsid w:val="4F764CC2"/>
    <w:rsid w:val="4F7E1BFB"/>
    <w:rsid w:val="4F823D55"/>
    <w:rsid w:val="4F85034E"/>
    <w:rsid w:val="4F8F1DA0"/>
    <w:rsid w:val="4F9000F4"/>
    <w:rsid w:val="4F983E33"/>
    <w:rsid w:val="4F9A0268"/>
    <w:rsid w:val="4F9B5328"/>
    <w:rsid w:val="4F9B61D7"/>
    <w:rsid w:val="4F9E486B"/>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06558"/>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12A4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D1E1D"/>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DE7FD1"/>
    <w:rsid w:val="55E31A15"/>
    <w:rsid w:val="55E4515A"/>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519F2"/>
    <w:rsid w:val="56373380"/>
    <w:rsid w:val="563B616D"/>
    <w:rsid w:val="56433C1D"/>
    <w:rsid w:val="56436207"/>
    <w:rsid w:val="56456373"/>
    <w:rsid w:val="5655420D"/>
    <w:rsid w:val="565B61BB"/>
    <w:rsid w:val="565D5FB6"/>
    <w:rsid w:val="566510CB"/>
    <w:rsid w:val="56676126"/>
    <w:rsid w:val="56693BCD"/>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AF1680"/>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2015"/>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7D5692"/>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7710B"/>
    <w:rsid w:val="59FC2EE5"/>
    <w:rsid w:val="59FE191D"/>
    <w:rsid w:val="59FF2F18"/>
    <w:rsid w:val="5A011459"/>
    <w:rsid w:val="5A0407DD"/>
    <w:rsid w:val="5A05470A"/>
    <w:rsid w:val="5A0640DE"/>
    <w:rsid w:val="5A1156D2"/>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0156C"/>
    <w:rsid w:val="5A921A04"/>
    <w:rsid w:val="5A99558C"/>
    <w:rsid w:val="5A9A0A66"/>
    <w:rsid w:val="5AA541CF"/>
    <w:rsid w:val="5AAF48E4"/>
    <w:rsid w:val="5AB37B5F"/>
    <w:rsid w:val="5AB96041"/>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822B6"/>
    <w:rsid w:val="5AD86DAA"/>
    <w:rsid w:val="5AEB5C08"/>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B48F9"/>
    <w:rsid w:val="5B4C3725"/>
    <w:rsid w:val="5B5249DF"/>
    <w:rsid w:val="5B532679"/>
    <w:rsid w:val="5B540662"/>
    <w:rsid w:val="5B570BDE"/>
    <w:rsid w:val="5B573C01"/>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9E3AD9"/>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57055"/>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CE28E5"/>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74769"/>
    <w:rsid w:val="606E2944"/>
    <w:rsid w:val="606E5B6C"/>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1EDE"/>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117BD"/>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86A82"/>
    <w:rsid w:val="659C17EE"/>
    <w:rsid w:val="659C2241"/>
    <w:rsid w:val="65A65E7D"/>
    <w:rsid w:val="65AA2B3B"/>
    <w:rsid w:val="65B408AD"/>
    <w:rsid w:val="65BC6E17"/>
    <w:rsid w:val="65BD3777"/>
    <w:rsid w:val="65BE2C69"/>
    <w:rsid w:val="65BE5ECC"/>
    <w:rsid w:val="65C4177D"/>
    <w:rsid w:val="65D43869"/>
    <w:rsid w:val="65D52E5A"/>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B3835"/>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229B1"/>
    <w:rsid w:val="6726232E"/>
    <w:rsid w:val="672A4901"/>
    <w:rsid w:val="672E50FE"/>
    <w:rsid w:val="67331724"/>
    <w:rsid w:val="6733491A"/>
    <w:rsid w:val="673360E2"/>
    <w:rsid w:val="6734158E"/>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580F9F"/>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B4D56"/>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A24D7"/>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EE72AA"/>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D8655C"/>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94F08"/>
    <w:rsid w:val="6F7A0C79"/>
    <w:rsid w:val="6F7E1B78"/>
    <w:rsid w:val="6F967ACA"/>
    <w:rsid w:val="6F9844E4"/>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449D"/>
    <w:rsid w:val="705E76BE"/>
    <w:rsid w:val="70680AC8"/>
    <w:rsid w:val="70684400"/>
    <w:rsid w:val="706D51B8"/>
    <w:rsid w:val="70712877"/>
    <w:rsid w:val="70737F32"/>
    <w:rsid w:val="70767F2C"/>
    <w:rsid w:val="70785A86"/>
    <w:rsid w:val="70792E41"/>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43DE2"/>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E3782"/>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A979E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ED15DE"/>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D5A56"/>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97D37"/>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C0DCF"/>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0A9A"/>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62761"/>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056C5"/>
    <w:rsid w:val="7F536DE1"/>
    <w:rsid w:val="7F6128F4"/>
    <w:rsid w:val="7F6339F7"/>
    <w:rsid w:val="7F6E10C2"/>
    <w:rsid w:val="7F7E49B6"/>
    <w:rsid w:val="7F8122AD"/>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13</Pages>
  <Words>1233</Words>
  <Characters>6365</Characters>
  <Lines>130</Lines>
  <Paragraphs>36</Paragraphs>
  <TotalTime>0</TotalTime>
  <ScaleCrop>false</ScaleCrop>
  <LinksUpToDate>false</LinksUpToDate>
  <CharactersWithSpaces>7574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2025-05-09T15:31:36Z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